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0"/>
      </w:tblGrid>
      <w:tr w:rsidR="005F4008" w14:paraId="13A23044" w14:textId="77777777">
        <w:tblPrEx>
          <w:tblCellMar>
            <w:top w:w="0" w:type="dxa"/>
            <w:bottom w:w="0" w:type="dxa"/>
          </w:tblCellMar>
        </w:tblPrEx>
        <w:tc>
          <w:tcPr>
            <w:tcW w:w="9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5C38"/>
            <w:tcMar>
              <w:top w:w="540" w:type="dxa"/>
              <w:left w:w="480" w:type="dxa"/>
              <w:bottom w:w="540" w:type="dxa"/>
              <w:right w:w="480" w:type="dxa"/>
            </w:tcMar>
          </w:tcPr>
          <w:p w14:paraId="098394E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64"/>
                <w:szCs w:val="64"/>
              </w:rPr>
              <w:t>RADAR LATAM</w:t>
            </w:r>
          </w:p>
          <w:p w14:paraId="17F4DF41" w14:textId="77777777" w:rsidR="005F4008" w:rsidRDefault="008959FE">
            <w:pPr>
              <w:spacing w:after="60"/>
              <w:jc w:val="center"/>
            </w:pPr>
            <w:r>
              <w:rPr>
                <w:color w:val="AADDBB"/>
                <w:sz w:val="24"/>
                <w:szCs w:val="24"/>
              </w:rPr>
              <w:t>Inteligencia de mercado para franquicias mexicanas</w:t>
            </w:r>
          </w:p>
          <w:p w14:paraId="28258476" w14:textId="77777777" w:rsidR="005F4008" w:rsidRDefault="005F4008">
            <w:pPr>
              <w:spacing w:after="60"/>
            </w:pPr>
          </w:p>
          <w:p w14:paraId="42577BC5" w14:textId="77777777" w:rsidR="005F4008" w:rsidRDefault="008959FE">
            <w:pPr>
              <w:spacing w:after="60"/>
              <w:jc w:val="center"/>
            </w:pPr>
            <w:r>
              <w:rPr>
                <w:color w:val="C8A951"/>
              </w:rPr>
              <w:t>━━━━━━━━━━━━━━━━━━━━━━━━━━━━</w:t>
            </w:r>
          </w:p>
          <w:p w14:paraId="31340F0B" w14:textId="77777777" w:rsidR="005F4008" w:rsidRDefault="005F4008">
            <w:pPr>
              <w:spacing w:after="60"/>
            </w:pPr>
          </w:p>
          <w:p w14:paraId="3531EC51" w14:textId="77777777" w:rsidR="005F4008" w:rsidRDefault="008959FE">
            <w:pPr>
              <w:spacing w:after="60"/>
              <w:jc w:val="center"/>
            </w:pPr>
            <w:proofErr w:type="gramStart"/>
            <w:r>
              <w:rPr>
                <w:b/>
                <w:bCs/>
                <w:color w:val="C8A951"/>
                <w:sz w:val="36"/>
                <w:szCs w:val="36"/>
              </w:rPr>
              <w:t>CENTROAMÉRICA  ·</w:t>
            </w:r>
            <w:proofErr w:type="gramEnd"/>
            <w:r>
              <w:rPr>
                <w:b/>
                <w:bCs/>
                <w:color w:val="C8A951"/>
                <w:sz w:val="36"/>
                <w:szCs w:val="36"/>
              </w:rPr>
              <w:t xml:space="preserve">  </w:t>
            </w:r>
            <w:proofErr w:type="gramStart"/>
            <w:r>
              <w:rPr>
                <w:b/>
                <w:bCs/>
                <w:color w:val="C8A951"/>
                <w:sz w:val="36"/>
                <w:szCs w:val="36"/>
              </w:rPr>
              <w:t>SUDAMÉRICA  ·</w:t>
            </w:r>
            <w:proofErr w:type="gramEnd"/>
            <w:r>
              <w:rPr>
                <w:b/>
                <w:bCs/>
                <w:color w:val="C8A951"/>
                <w:sz w:val="36"/>
                <w:szCs w:val="36"/>
              </w:rPr>
              <w:t xml:space="preserve">  EL CARIBE</w:t>
            </w:r>
          </w:p>
          <w:p w14:paraId="5743B8AA" w14:textId="77777777" w:rsidR="005F4008" w:rsidRDefault="005F4008">
            <w:pPr>
              <w:spacing w:after="60"/>
            </w:pPr>
          </w:p>
          <w:p w14:paraId="5C103868" w14:textId="77777777" w:rsidR="005F4008" w:rsidRDefault="008959FE">
            <w:pPr>
              <w:spacing w:after="60"/>
              <w:jc w:val="center"/>
            </w:pPr>
            <w:r>
              <w:rPr>
                <w:color w:val="AADDBB"/>
                <w:sz w:val="21"/>
                <w:szCs w:val="21"/>
              </w:rPr>
              <w:t>Idioma compartido · Afinidad cultural total · Gastronomía mexicana ya presente en toda la región</w:t>
            </w:r>
          </w:p>
          <w:p w14:paraId="7550E823" w14:textId="77777777" w:rsidR="005F4008" w:rsidRDefault="005F4008">
            <w:pPr>
              <w:spacing w:after="60"/>
            </w:pPr>
          </w:p>
          <w:p w14:paraId="3BE6784F" w14:textId="77777777" w:rsidR="005F4008" w:rsidRDefault="008959FE">
            <w:pPr>
              <w:spacing w:after="60"/>
              <w:jc w:val="center"/>
            </w:pPr>
            <w:r>
              <w:rPr>
                <w:color w:val="888888"/>
                <w:sz w:val="17"/>
                <w:szCs w:val="17"/>
              </w:rPr>
              <w:t>Edición 2025 — Fuentes: FMI, Banco Mundial, J.P. Morgan, Goldman Sachs, ABF, AMF</w:t>
            </w:r>
          </w:p>
        </w:tc>
      </w:tr>
    </w:tbl>
    <w:p w14:paraId="502251B5" w14:textId="77777777" w:rsidR="005F4008" w:rsidRDefault="005F4008">
      <w:pPr>
        <w:spacing w:after="60"/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0"/>
        <w:gridCol w:w="3280"/>
        <w:gridCol w:w="3280"/>
      </w:tblGrid>
      <w:tr w:rsidR="005F4008" w14:paraId="4CB8DC96" w14:textId="77777777">
        <w:tblPrEx>
          <w:tblCellMar>
            <w:top w:w="0" w:type="dxa"/>
            <w:bottom w:w="0" w:type="dxa"/>
          </w:tblCellMar>
        </w:tblPrEx>
        <w:tc>
          <w:tcPr>
            <w:tcW w:w="32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5C38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4FA55EA6" w14:textId="77777777" w:rsidR="005F4008" w:rsidRPr="00A50084" w:rsidRDefault="008959FE">
            <w:pPr>
              <w:spacing w:after="60"/>
              <w:jc w:val="center"/>
              <w:rPr>
                <w:lang w:val="pt-PT"/>
              </w:rPr>
            </w:pPr>
            <w:r>
              <w:rPr>
                <w:b/>
                <w:bCs/>
                <w:color w:val="FFFFFF"/>
              </w:rPr>
              <w:t>🟢</w:t>
            </w:r>
            <w:r w:rsidRPr="00A50084">
              <w:rPr>
                <w:b/>
                <w:bCs/>
                <w:color w:val="FFFFFF"/>
                <w:lang w:val="pt-PT"/>
              </w:rPr>
              <w:t xml:space="preserve"> TOP LATAM</w:t>
            </w:r>
          </w:p>
          <w:p w14:paraId="162CF49A" w14:textId="77777777" w:rsidR="005F4008" w:rsidRPr="00A50084" w:rsidRDefault="008959FE">
            <w:pPr>
              <w:spacing w:after="60"/>
              <w:jc w:val="center"/>
              <w:rPr>
                <w:lang w:val="pt-PT"/>
              </w:rPr>
            </w:pPr>
            <w:r w:rsidRPr="00A50084">
              <w:rPr>
                <w:color w:val="FFFFFF"/>
                <w:sz w:val="16"/>
                <w:szCs w:val="16"/>
                <w:lang w:val="pt-PT"/>
              </w:rPr>
              <w:t>Entrada recomendada — máximo potencial</w:t>
            </w:r>
          </w:p>
        </w:tc>
        <w:tc>
          <w:tcPr>
            <w:tcW w:w="32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4A017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5B079C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FFFFFF"/>
              </w:rPr>
              <w:t>🟡</w:t>
            </w:r>
            <w:r>
              <w:rPr>
                <w:b/>
                <w:bCs/>
                <w:color w:val="FFFFFF"/>
              </w:rPr>
              <w:t xml:space="preserve"> EN DESARROLLO</w:t>
            </w:r>
          </w:p>
          <w:p w14:paraId="6E3DC713" w14:textId="77777777" w:rsidR="005F4008" w:rsidRDefault="008959FE">
            <w:pPr>
              <w:spacing w:after="60"/>
              <w:jc w:val="center"/>
            </w:pPr>
            <w:r>
              <w:rPr>
                <w:color w:val="FFFFFF"/>
                <w:sz w:val="16"/>
                <w:szCs w:val="16"/>
              </w:rPr>
              <w:t>Potencial con barreras a evaluar</w:t>
            </w:r>
          </w:p>
        </w:tc>
        <w:tc>
          <w:tcPr>
            <w:tcW w:w="32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8B1A1A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30B0BA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FFFFFF"/>
              </w:rPr>
              <w:t>🔴</w:t>
            </w:r>
            <w:r>
              <w:rPr>
                <w:b/>
                <w:bCs/>
                <w:color w:val="FFFFFF"/>
              </w:rPr>
              <w:t xml:space="preserve"> NO VIABLE</w:t>
            </w:r>
          </w:p>
          <w:p w14:paraId="69CBDBB7" w14:textId="77777777" w:rsidR="005F4008" w:rsidRDefault="008959FE">
            <w:pPr>
              <w:spacing w:after="60"/>
              <w:jc w:val="center"/>
            </w:pPr>
            <w:r>
              <w:rPr>
                <w:color w:val="FFFFFF"/>
                <w:sz w:val="16"/>
                <w:szCs w:val="16"/>
              </w:rPr>
              <w:t xml:space="preserve">Crisis, </w:t>
            </w:r>
            <w:proofErr w:type="spellStart"/>
            <w:r>
              <w:rPr>
                <w:color w:val="FFFFFF"/>
                <w:sz w:val="16"/>
                <w:szCs w:val="16"/>
              </w:rPr>
              <w:t>micro-mercado</w:t>
            </w:r>
            <w:proofErr w:type="spellEnd"/>
            <w:r>
              <w:rPr>
                <w:color w:val="FFFFFF"/>
                <w:sz w:val="16"/>
                <w:szCs w:val="16"/>
              </w:rPr>
              <w:t xml:space="preserve"> o acceso imposible</w:t>
            </w:r>
          </w:p>
        </w:tc>
      </w:tr>
    </w:tbl>
    <w:p w14:paraId="6AF34FEA" w14:textId="77777777" w:rsidR="005F4008" w:rsidRDefault="005F4008">
      <w:pPr>
        <w:spacing w:after="60"/>
      </w:pPr>
    </w:p>
    <w:p w14:paraId="134DB3A7" w14:textId="77777777" w:rsidR="005F4008" w:rsidRDefault="008959FE">
      <w:r>
        <w:br w:type="page"/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0"/>
      </w:tblGrid>
      <w:tr w:rsidR="005F4008" w14:paraId="3C29D7A0" w14:textId="77777777">
        <w:tblPrEx>
          <w:tblCellMar>
            <w:top w:w="0" w:type="dxa"/>
            <w:bottom w:w="0" w:type="dxa"/>
          </w:tblCellMar>
        </w:tblPrEx>
        <w:tc>
          <w:tcPr>
            <w:tcW w:w="9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5C38"/>
            <w:tcMar>
              <w:top w:w="200" w:type="dxa"/>
              <w:left w:w="360" w:type="dxa"/>
              <w:bottom w:w="200" w:type="dxa"/>
              <w:right w:w="360" w:type="dxa"/>
            </w:tcMar>
          </w:tcPr>
          <w:p w14:paraId="26F1DA06" w14:textId="77777777" w:rsidR="005F4008" w:rsidRDefault="008959FE">
            <w:pPr>
              <w:spacing w:after="60"/>
              <w:jc w:val="center"/>
            </w:pPr>
            <w:proofErr w:type="gramStart"/>
            <w:r>
              <w:rPr>
                <w:b/>
                <w:bCs/>
                <w:color w:val="FFFFFF"/>
                <w:sz w:val="36"/>
                <w:szCs w:val="36"/>
              </w:rPr>
              <w:t>🟢</w:t>
            </w:r>
            <w:r>
              <w:rPr>
                <w:b/>
                <w:bCs/>
                <w:color w:val="FFFFFF"/>
                <w:sz w:val="36"/>
                <w:szCs w:val="36"/>
              </w:rPr>
              <w:t xml:space="preserve">  SECCIÓN</w:t>
            </w:r>
            <w:proofErr w:type="gramEnd"/>
            <w:r>
              <w:rPr>
                <w:b/>
                <w:bCs/>
                <w:color w:val="FFFFFF"/>
                <w:sz w:val="36"/>
                <w:szCs w:val="36"/>
              </w:rPr>
              <w:t xml:space="preserve"> 1 — TOP 17 MERCADOS PRIORITARIOS</w:t>
            </w:r>
          </w:p>
          <w:p w14:paraId="2745CF2E" w14:textId="77777777" w:rsidR="005F4008" w:rsidRDefault="008959FE">
            <w:pPr>
              <w:spacing w:after="60"/>
              <w:jc w:val="center"/>
            </w:pPr>
            <w:r>
              <w:rPr>
                <w:color w:val="DDEECC"/>
                <w:sz w:val="21"/>
                <w:szCs w:val="21"/>
              </w:rPr>
              <w:t>Brasil · Colombia · Chile · Perú · Guatemala · Panamá · Rep. Dominicana · Argentina · Costa Rica · Uruguay · Paraguay · El Salvador · Bolivia · Honduras · Nicaragua · Belice · Ecuador</w:t>
            </w:r>
          </w:p>
        </w:tc>
      </w:tr>
    </w:tbl>
    <w:p w14:paraId="2C41ECA5" w14:textId="77777777" w:rsidR="005F4008" w:rsidRDefault="005F4008">
      <w:pPr>
        <w:spacing w:after="6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7CF04D5A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78202F69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01  </w:t>
            </w:r>
            <w:r>
              <w:rPr>
                <w:b/>
                <w:bCs/>
                <w:color w:val="FFFFFF"/>
                <w:sz w:val="32"/>
                <w:szCs w:val="32"/>
              </w:rPr>
              <w:t>🇧🇷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BRASIL</w:t>
            </w:r>
            <w:proofErr w:type="gramEnd"/>
          </w:p>
          <w:p w14:paraId="05C7B533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Mayor mercado de franquicias de LATAM — 3,300 marcas, 200,000+ unidades, 1.7M empleos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597F284A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7E3972A6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ESTRATÉGICA</w:t>
            </w:r>
          </w:p>
        </w:tc>
      </w:tr>
      <w:tr w:rsidR="005F4008" w14:paraId="353667B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6A10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217M</w:t>
            </w:r>
          </w:p>
          <w:p w14:paraId="54F59EBC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719A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$2.13T</w:t>
            </w:r>
          </w:p>
          <w:p w14:paraId="7D2E22F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7D72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$9,960</w:t>
            </w:r>
          </w:p>
          <w:p w14:paraId="7D7C6F0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C600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2.2%</w:t>
            </w:r>
          </w:p>
          <w:p w14:paraId="3ABD739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9444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5.5%</w:t>
            </w:r>
          </w:p>
          <w:p w14:paraId="2B8CFD09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004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88%</w:t>
            </w:r>
          </w:p>
          <w:p w14:paraId="121CBFD4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D56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34 años</w:t>
            </w:r>
          </w:p>
          <w:p w14:paraId="05C36CE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3FB3415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03367483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5B20779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de franquicias más grande de América Latina — ecosistema maduro con ABF (Asociación Brasileña de Franquicias) como soporte</w:t>
            </w:r>
          </w:p>
          <w:p w14:paraId="0797D57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217M de habitantes con clase media urbana altamente activa en consumo de F&amp;B</w:t>
            </w:r>
          </w:p>
          <w:p w14:paraId="66E3F96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Cultura de mall y QSR muy desarrollada — São Paulo y Río como polos de consumo premium</w:t>
            </w:r>
          </w:p>
          <w:p w14:paraId="52E4152C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</w:t>
            </w:r>
            <w:proofErr w:type="spellStart"/>
            <w:r>
              <w:rPr>
                <w:color w:val="1A1A1A"/>
                <w:sz w:val="18"/>
                <w:szCs w:val="18"/>
              </w:rPr>
              <w:t>Fast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-casual y </w:t>
            </w:r>
            <w:proofErr w:type="spellStart"/>
            <w:proofErr w:type="gramStart"/>
            <w:r>
              <w:rPr>
                <w:color w:val="1A1A1A"/>
                <w:sz w:val="18"/>
                <w:szCs w:val="18"/>
              </w:rPr>
              <w:t>fast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A1A1A"/>
                <w:sz w:val="18"/>
                <w:szCs w:val="18"/>
              </w:rPr>
              <w:t>food</w:t>
            </w:r>
            <w:proofErr w:type="spellEnd"/>
            <w:proofErr w:type="gramEnd"/>
            <w:r>
              <w:rPr>
                <w:color w:val="1A1A1A"/>
                <w:sz w:val="18"/>
                <w:szCs w:val="18"/>
              </w:rPr>
              <w:t xml:space="preserve"> en expansión: mercado de </w:t>
            </w:r>
            <w:proofErr w:type="spellStart"/>
            <w:r>
              <w:rPr>
                <w:color w:val="1A1A1A"/>
                <w:sz w:val="18"/>
                <w:szCs w:val="18"/>
              </w:rPr>
              <w:t>foodservice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con CAGR 8%+ anual</w:t>
            </w:r>
          </w:p>
          <w:p w14:paraId="130D25A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Gran afinidad cultural con México — música, gastronomía, cultura latina compartida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7A6979DC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3B74EE1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95% de franquicias son locales — diferenciación y marketing fuerte son indispensables</w:t>
            </w:r>
          </w:p>
          <w:p w14:paraId="0FDF149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Idioma portugués — adaptación de materiales, menú y comunicación obligatoria</w:t>
            </w:r>
          </w:p>
          <w:p w14:paraId="7C26BB9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Burocracia fiscal alta (</w:t>
            </w:r>
            <w:proofErr w:type="spellStart"/>
            <w:r>
              <w:rPr>
                <w:color w:val="1A1A1A"/>
                <w:sz w:val="18"/>
                <w:szCs w:val="18"/>
              </w:rPr>
              <w:t>Custo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Brasil) y complejidad regulatoria que eleva costo de entrada</w:t>
            </w:r>
          </w:p>
          <w:p w14:paraId="74F6EFDC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ABF: 3,300 marcas / 200,000+ unidades / genera R$1+ trillón al año</w:t>
            </w:r>
          </w:p>
          <w:p w14:paraId="405CB5B2" w14:textId="77777777" w:rsidR="005F4008" w:rsidRDefault="008959FE">
            <w:pPr>
              <w:spacing w:after="30"/>
            </w:pPr>
            <w:proofErr w:type="spellStart"/>
            <w:r>
              <w:rPr>
                <w:color w:val="888888"/>
                <w:sz w:val="17"/>
                <w:szCs w:val="17"/>
              </w:rPr>
              <w:t>Foodservice</w:t>
            </w:r>
            <w:proofErr w:type="spellEnd"/>
            <w:r>
              <w:rPr>
                <w:color w:val="888888"/>
                <w:sz w:val="17"/>
                <w:szCs w:val="17"/>
              </w:rPr>
              <w:t xml:space="preserve"> CAGR: 8%+ anual</w:t>
            </w:r>
          </w:p>
        </w:tc>
      </w:tr>
    </w:tbl>
    <w:p w14:paraId="5ADF3C23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13CD472E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41130320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02  </w:t>
            </w:r>
            <w:r>
              <w:rPr>
                <w:b/>
                <w:bCs/>
                <w:color w:val="FFFFFF"/>
                <w:sz w:val="32"/>
                <w:szCs w:val="32"/>
              </w:rPr>
              <w:t>🇨🇴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COLOMBIA</w:t>
            </w:r>
            <w:proofErr w:type="gramEnd"/>
          </w:p>
          <w:p w14:paraId="116BB87F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El mercado más similar a México culturalmente — Bogotá, Medellín y Cali en pleno auge gastronómico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6C9199C1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28C4751B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PRIORITARIA</w:t>
            </w:r>
          </w:p>
        </w:tc>
      </w:tr>
      <w:tr w:rsidR="005F4008" w14:paraId="44A63CC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0764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52M</w:t>
            </w:r>
          </w:p>
          <w:p w14:paraId="6F36F92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57A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$540B</w:t>
            </w:r>
          </w:p>
          <w:p w14:paraId="47308F3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1FF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$10,103</w:t>
            </w:r>
          </w:p>
          <w:p w14:paraId="2C7BAD96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1F52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2.6%</w:t>
            </w:r>
          </w:p>
          <w:p w14:paraId="02215FB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8C0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8.0%</w:t>
            </w:r>
          </w:p>
          <w:p w14:paraId="40A3F05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4917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82%</w:t>
            </w:r>
          </w:p>
          <w:p w14:paraId="2C28F17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5253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31 años</w:t>
            </w:r>
          </w:p>
          <w:p w14:paraId="5B32BDBF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28FDDAF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38756EF6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0C2EABB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</w:t>
            </w:r>
            <w:proofErr w:type="gramStart"/>
            <w:r>
              <w:rPr>
                <w:color w:val="1A1A1A"/>
                <w:sz w:val="18"/>
                <w:szCs w:val="18"/>
              </w:rPr>
              <w:t>Español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nativo, cultura prácticamente idéntica a México — barrera de entrada mínima entre todos los mercados del mundo</w:t>
            </w:r>
          </w:p>
          <w:p w14:paraId="757E1E8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82% urbanización — consumidores concentrados en tres grandes polos: Bogotá (8M), Medellín (4M), Cali (3M)</w:t>
            </w:r>
          </w:p>
          <w:p w14:paraId="026566A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Clase media en expansión con apetito creciente y probado por marcas internacionales de calidad</w:t>
            </w:r>
          </w:p>
          <w:p w14:paraId="0720C1A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Ecosistema emprendedor muy activo — facilidad para encontrar </w:t>
            </w:r>
            <w:proofErr w:type="gramStart"/>
            <w:r>
              <w:rPr>
                <w:color w:val="1A1A1A"/>
                <w:sz w:val="18"/>
                <w:szCs w:val="18"/>
              </w:rPr>
              <w:t>master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A1A1A"/>
                <w:sz w:val="18"/>
                <w:szCs w:val="18"/>
              </w:rPr>
              <w:t>franchisees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locales experimentados</w:t>
            </w:r>
          </w:p>
          <w:p w14:paraId="0EB21677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Gastronomía colombiana sofisticada — consumidor aventurero y con gasto en experiencias culinarias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611481D3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6AC56BD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Inflación del 8% — contratos deben contemplar ajuste anual de regalías en moneda local</w:t>
            </w:r>
          </w:p>
          <w:p w14:paraId="32C79DC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Incertidumbre política bajo gobierno Petro — inversión privada cautelosa hasta 2026</w:t>
            </w:r>
          </w:p>
          <w:p w14:paraId="2EFDBB6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Alta desigualdad (Gini 53.9) — mercado de consumo concentrado en segmento medio-alto urbano</w:t>
            </w:r>
          </w:p>
          <w:p w14:paraId="570A6662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~500 sistemas de franquicia activos</w:t>
            </w:r>
          </w:p>
          <w:p w14:paraId="450697E4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 xml:space="preserve">Mercado </w:t>
            </w:r>
            <w:proofErr w:type="spellStart"/>
            <w:r>
              <w:rPr>
                <w:color w:val="888888"/>
                <w:sz w:val="17"/>
                <w:szCs w:val="17"/>
              </w:rPr>
              <w:t>foodservice</w:t>
            </w:r>
            <w:proofErr w:type="spellEnd"/>
            <w:r>
              <w:rPr>
                <w:color w:val="888888"/>
                <w:sz w:val="17"/>
                <w:szCs w:val="17"/>
              </w:rPr>
              <w:t>: $25B, CAGR 9% anual</w:t>
            </w:r>
          </w:p>
        </w:tc>
      </w:tr>
    </w:tbl>
    <w:p w14:paraId="2DC55CF1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2014864B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078B5A07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03  </w:t>
            </w:r>
            <w:r>
              <w:rPr>
                <w:b/>
                <w:bCs/>
                <w:color w:val="FFFFFF"/>
                <w:sz w:val="32"/>
                <w:szCs w:val="32"/>
              </w:rPr>
              <w:t>🇨🇱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CHILE</w:t>
            </w:r>
            <w:proofErr w:type="gramEnd"/>
          </w:p>
          <w:p w14:paraId="0809752B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El mayor PIB per cápita de América Latina — consumidor sofisticado en mercado predecible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6DE0B60E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60B52335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RECOMENDADA</w:t>
            </w:r>
          </w:p>
        </w:tc>
      </w:tr>
      <w:tr w:rsidR="005F4008" w14:paraId="513C1F0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9D2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20M</w:t>
            </w:r>
          </w:p>
          <w:p w14:paraId="5149939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116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$408B</w:t>
            </w:r>
          </w:p>
          <w:p w14:paraId="139948F5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A7F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$20,240</w:t>
            </w:r>
          </w:p>
          <w:p w14:paraId="1A89453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1525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2.3%</w:t>
            </w:r>
          </w:p>
          <w:p w14:paraId="5F61FA1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33EE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4.3%</w:t>
            </w:r>
          </w:p>
          <w:p w14:paraId="79513739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089F5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88%</w:t>
            </w:r>
          </w:p>
          <w:p w14:paraId="6479466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EEBC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36 años</w:t>
            </w:r>
          </w:p>
          <w:p w14:paraId="54F835F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5DCC692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0A7FFE08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6B41373F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más alto de Latinoamérica ($20,240) — consumidor con poder adquisitivo premium</w:t>
            </w:r>
          </w:p>
          <w:p w14:paraId="3FF14A8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Inflación controlada (4.3%) y ambiente legal predecible — ideal para contratos de largo plazo</w:t>
            </w:r>
          </w:p>
          <w:p w14:paraId="26C4BA0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88% urbanización concentrada en Santiago (7M+ hab.) — mercado eficiente y accesible</w:t>
            </w:r>
          </w:p>
          <w:p w14:paraId="6421F6C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Cultura de marca sofisticada — consumidores dispuestos a pagar por autenticidad y calidad</w:t>
            </w:r>
          </w:p>
          <w:p w14:paraId="06055F1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Marco regulatorio transparente, baja corrupción y facilidad real para hacer negocios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171E395F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7D8BAB9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pequeño (20M) — escala limitada para expansión masiva</w:t>
            </w:r>
          </w:p>
          <w:p w14:paraId="7242443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Crecimiento moderado (2.3%) — economía madura con saturación creciente en QSR</w:t>
            </w:r>
          </w:p>
          <w:p w14:paraId="733F470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Tensiones políticas internas pueden afectar confianza inversora</w:t>
            </w:r>
          </w:p>
          <w:p w14:paraId="5D956E33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~400 sistemas activos</w:t>
            </w:r>
          </w:p>
          <w:p w14:paraId="48B18872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7% anual</w:t>
            </w:r>
          </w:p>
        </w:tc>
      </w:tr>
    </w:tbl>
    <w:p w14:paraId="05EB2B61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64D0C282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29EBE7C7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04  </w:t>
            </w:r>
            <w:r>
              <w:rPr>
                <w:b/>
                <w:bCs/>
                <w:color w:val="FFFFFF"/>
                <w:sz w:val="32"/>
                <w:szCs w:val="32"/>
              </w:rPr>
              <w:t>🇵🇪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PERÚ</w:t>
            </w:r>
            <w:proofErr w:type="gramEnd"/>
          </w:p>
          <w:p w14:paraId="5A279854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Lima, capital gastronómica de América — máxima apertura cultural a propuestas culinarias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3C0BC2F4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2A42EED2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RECOMENDADA</w:t>
            </w:r>
          </w:p>
        </w:tc>
      </w:tr>
      <w:tr w:rsidR="005F4008" w14:paraId="15D75775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2D55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34M</w:t>
            </w:r>
          </w:p>
          <w:p w14:paraId="488005FC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26D0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$381B</w:t>
            </w:r>
          </w:p>
          <w:p w14:paraId="2ACDDFF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DD9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$10,960</w:t>
            </w:r>
          </w:p>
          <w:p w14:paraId="5CE217E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1DE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3.4%</w:t>
            </w:r>
          </w:p>
          <w:p w14:paraId="6D76265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BD22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1.9%</w:t>
            </w:r>
          </w:p>
          <w:p w14:paraId="52C99FFC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703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79%</w:t>
            </w:r>
          </w:p>
          <w:p w14:paraId="7DDC0C5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2988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29 años</w:t>
            </w:r>
          </w:p>
          <w:p w14:paraId="1332905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7105C7C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0142E9CA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7F0FAC6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Inflación de solo 1.9% — la más baja de la región — condición ideal para contratos de franquicia estables</w:t>
            </w:r>
          </w:p>
          <w:p w14:paraId="1755798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Lima reconocida mundialmente como capital gastronómica de América — apertura máxima a nuevas cocinas</w:t>
            </w:r>
          </w:p>
          <w:p w14:paraId="452334F0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3.4% de crecimiento sólido y sostenido con macro disciplinada</w:t>
            </w:r>
          </w:p>
          <w:p w14:paraId="72B2A45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Clase media urbana con fuerte cultura de salida a restaurantes y gasto en experiencias</w:t>
            </w:r>
          </w:p>
          <w:p w14:paraId="4A569C0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Turismo gastronómico internacional — decenas de miles de consumidores premium adicionales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77AD9CD3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5A663F6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Volatilidad política crónica — riesgo institucional que debe monitorearse por ciclo electoral</w:t>
            </w:r>
          </w:p>
          <w:p w14:paraId="1F9AB92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Alta informalidad económica fuera de Lima (mercado formal concentrado en capital)</w:t>
            </w:r>
          </w:p>
          <w:p w14:paraId="0DBE784C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medio-bajo — segmento objetivo es clase media-alta urbana de Lima</w:t>
            </w:r>
          </w:p>
          <w:p w14:paraId="5F19AEA2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~350 sistemas activos</w:t>
            </w:r>
          </w:p>
          <w:p w14:paraId="774D7170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10% anual</w:t>
            </w:r>
          </w:p>
        </w:tc>
      </w:tr>
    </w:tbl>
    <w:p w14:paraId="05CEF5E4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0AF8FC89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6FBBED63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05  </w:t>
            </w:r>
            <w:r>
              <w:rPr>
                <w:b/>
                <w:bCs/>
                <w:color w:val="FFFFFF"/>
                <w:sz w:val="32"/>
                <w:szCs w:val="32"/>
              </w:rPr>
              <w:t>🇬🇹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GUATEMALA</w:t>
            </w:r>
            <w:proofErr w:type="gramEnd"/>
          </w:p>
          <w:p w14:paraId="178EECB3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La mayor economía de Centroamérica — remesas de EUA impulsan el consumo de clase media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611B3AB5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6CA82DFC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RECOMENDADA</w:t>
            </w:r>
          </w:p>
        </w:tc>
      </w:tr>
      <w:tr w:rsidR="005F4008" w14:paraId="67CC8015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BB1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17M</w:t>
            </w:r>
          </w:p>
          <w:p w14:paraId="56A2E28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7E0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$121B</w:t>
            </w:r>
          </w:p>
          <w:p w14:paraId="296896FC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085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$5,678</w:t>
            </w:r>
          </w:p>
          <w:p w14:paraId="20CE577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146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3.5%</w:t>
            </w:r>
          </w:p>
          <w:p w14:paraId="22BD890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CFC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5.0%</w:t>
            </w:r>
          </w:p>
          <w:p w14:paraId="70B6A16B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B7DA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52%</w:t>
            </w:r>
          </w:p>
          <w:p w14:paraId="35F1672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64E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22 años</w:t>
            </w:r>
          </w:p>
          <w:p w14:paraId="0842052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39E02A2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2B5A9A72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4DE3C1B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Mayor economía de Centroamérica — </w:t>
            </w:r>
            <w:proofErr w:type="spellStart"/>
            <w:proofErr w:type="gramStart"/>
            <w:r>
              <w:rPr>
                <w:color w:val="1A1A1A"/>
                <w:sz w:val="18"/>
                <w:szCs w:val="18"/>
              </w:rPr>
              <w:t>hub</w:t>
            </w:r>
            <w:proofErr w:type="spellEnd"/>
            <w:proofErr w:type="gramEnd"/>
            <w:r>
              <w:rPr>
                <w:color w:val="1A1A1A"/>
                <w:sz w:val="18"/>
                <w:szCs w:val="18"/>
              </w:rPr>
              <w:t xml:space="preserve"> natural para expansión regional en la zona</w:t>
            </w:r>
          </w:p>
          <w:p w14:paraId="358B22B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Remesas de EUA ($20B+ en 2024) crean consumo constante y clase media emergente activa</w:t>
            </w:r>
          </w:p>
          <w:p w14:paraId="35C041F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Ciudad de Guatemala con infraestructura comercial sólida: malls, centros de consumo modernos</w:t>
            </w:r>
          </w:p>
          <w:p w14:paraId="2BAE848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Afinidad cultural y gastronómica total con México — barrera de entrada prácticamente inexistente</w:t>
            </w:r>
          </w:p>
          <w:p w14:paraId="611E2D6A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Crecimiento estable del 3.5% con inflación moderada — macroeconomía predecible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5DC13291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57BDD69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Alta desigualdad y pobreza rural (56%) — mercado de franquicias concentrado en Ciudad de Guatemala</w:t>
            </w:r>
          </w:p>
          <w:p w14:paraId="28DD561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Burocracia e informalidad elevada en trámites empresariales</w:t>
            </w:r>
          </w:p>
          <w:p w14:paraId="4E3D5D6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Inseguridad en zonas fuera de la capital requiere estrategia de ubicación cuidadosa</w:t>
            </w:r>
          </w:p>
          <w:p w14:paraId="2335A545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~100 sistemas activos</w:t>
            </w:r>
          </w:p>
          <w:p w14:paraId="5C1201E9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8% anual</w:t>
            </w:r>
          </w:p>
        </w:tc>
      </w:tr>
    </w:tbl>
    <w:p w14:paraId="67BED4B7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68C0FF24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1EF35E8D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06  </w:t>
            </w:r>
            <w:r>
              <w:rPr>
                <w:b/>
                <w:bCs/>
                <w:color w:val="FFFFFF"/>
                <w:sz w:val="32"/>
                <w:szCs w:val="32"/>
              </w:rPr>
              <w:t>🇵🇦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PANAMÁ</w:t>
            </w:r>
            <w:proofErr w:type="gramEnd"/>
          </w:p>
          <w:p w14:paraId="797F1A8A" w14:textId="77777777" w:rsidR="005F4008" w:rsidRDefault="008959FE">
            <w:pPr>
              <w:spacing w:after="60"/>
            </w:pPr>
            <w:proofErr w:type="gramStart"/>
            <w:r>
              <w:rPr>
                <w:color w:val="DDEECC"/>
                <w:sz w:val="18"/>
                <w:szCs w:val="18"/>
              </w:rPr>
              <w:t>Hub</w:t>
            </w:r>
            <w:proofErr w:type="gramEnd"/>
            <w:r>
              <w:rPr>
                <w:color w:val="DDEECC"/>
                <w:sz w:val="18"/>
                <w:szCs w:val="18"/>
              </w:rPr>
              <w:t xml:space="preserve"> financiero y logístico de las Américas — USD como moneda y consumidor cosmopolita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1C2A1FBD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17105607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RECOMENDADA</w:t>
            </w:r>
          </w:p>
        </w:tc>
      </w:tr>
      <w:tr w:rsidR="005F4008" w14:paraId="12DADC6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F58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4.4M</w:t>
            </w:r>
          </w:p>
          <w:p w14:paraId="25C0E429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CCB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$92B</w:t>
            </w:r>
          </w:p>
          <w:p w14:paraId="6AA4525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B76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$20,080</w:t>
            </w:r>
          </w:p>
          <w:p w14:paraId="5FE5E8C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08472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4.0%</w:t>
            </w:r>
          </w:p>
          <w:p w14:paraId="0485D4F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6FEF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2.5%</w:t>
            </w:r>
          </w:p>
          <w:p w14:paraId="47B0F6CB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9D24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69%</w:t>
            </w:r>
          </w:p>
          <w:p w14:paraId="5EB14E49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290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30 años</w:t>
            </w:r>
          </w:p>
          <w:p w14:paraId="6DD4AC1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3585494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714714FD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4EFD347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USD como moneda oficial — </w:t>
            </w:r>
            <w:proofErr w:type="gramStart"/>
            <w:r>
              <w:rPr>
                <w:color w:val="1A1A1A"/>
                <w:sz w:val="18"/>
                <w:szCs w:val="18"/>
              </w:rPr>
              <w:t>cero riesgo cambiario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para franquicias mexicanas</w:t>
            </w:r>
          </w:p>
          <w:p w14:paraId="62D3353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de $20,080 — uno de los más altos de Centroamérica con consumidor cosmopolita</w:t>
            </w:r>
          </w:p>
          <w:p w14:paraId="5BAD535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</w:t>
            </w:r>
            <w:proofErr w:type="gramStart"/>
            <w:r>
              <w:rPr>
                <w:color w:val="1A1A1A"/>
                <w:sz w:val="18"/>
                <w:szCs w:val="18"/>
              </w:rPr>
              <w:t>Hub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logístico y financiero regional — sede de multinacionales con ejecutivos de alto gasto</w:t>
            </w:r>
          </w:p>
          <w:p w14:paraId="23636B67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Canal de Panamá genera flujo constante de turistas y viajeros de negocios internacionales</w:t>
            </w:r>
          </w:p>
          <w:p w14:paraId="381C21B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Cultura de marcas internacionales bien arraigada — apertura total a conceptos nuevos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2A4728E7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06F8E63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pequeño (4.4M habitantes) — escala muy limitada para operación masiva</w:t>
            </w:r>
          </w:p>
          <w:p w14:paraId="15A45340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Alta competencia de marcas norteamericanas ya establecidas en locaciones premium</w:t>
            </w:r>
          </w:p>
          <w:p w14:paraId="5C1A897A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~150 sistemas activos</w:t>
            </w:r>
          </w:p>
          <w:p w14:paraId="0118F540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9% anual</w:t>
            </w:r>
          </w:p>
        </w:tc>
      </w:tr>
    </w:tbl>
    <w:p w14:paraId="55581483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5B747FC4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2F17B8FD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07  </w:t>
            </w:r>
            <w:r>
              <w:rPr>
                <w:b/>
                <w:bCs/>
                <w:color w:val="FFFFFF"/>
                <w:sz w:val="32"/>
                <w:szCs w:val="32"/>
              </w:rPr>
              <w:t>🇩🇴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REP.</w:t>
            </w:r>
            <w:proofErr w:type="gramEnd"/>
            <w:r>
              <w:rPr>
                <w:b/>
                <w:bCs/>
                <w:color w:val="FFFFFF"/>
                <w:sz w:val="32"/>
                <w:szCs w:val="32"/>
              </w:rPr>
              <w:t xml:space="preserve"> DOMINICANA</w:t>
            </w:r>
          </w:p>
          <w:p w14:paraId="3C207BC1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La economía de mayor crecimiento del Caribe — turismo masivo y clase media urbana activa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45387DA5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El Caribe</w:t>
            </w:r>
          </w:p>
          <w:p w14:paraId="2338F750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RECOMENDADA</w:t>
            </w:r>
          </w:p>
        </w:tc>
      </w:tr>
      <w:tr w:rsidR="005F4008" w14:paraId="56C8848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7BE4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11M</w:t>
            </w:r>
          </w:p>
          <w:p w14:paraId="53DB8CB4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BC0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$128B</w:t>
            </w:r>
          </w:p>
          <w:p w14:paraId="4587C5F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6C8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$11,740</w:t>
            </w:r>
          </w:p>
          <w:p w14:paraId="5826526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4F6F7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5.5%</w:t>
            </w:r>
          </w:p>
          <w:p w14:paraId="77F333A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6F6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3.5%</w:t>
            </w:r>
          </w:p>
          <w:p w14:paraId="398F4419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43FF5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82%</w:t>
            </w:r>
          </w:p>
          <w:p w14:paraId="178681C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9F17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29 años</w:t>
            </w:r>
          </w:p>
          <w:p w14:paraId="573CE92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64BC2E2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659144AC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1104709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5.5% crecimiento sostenido — el más alto del Caribe de forma consistente por más de 5 años</w:t>
            </w:r>
          </w:p>
          <w:p w14:paraId="725F751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10M+ turistas/año generan demanda adicional constante de consumidores de alto poder adquisitivo</w:t>
            </w:r>
          </w:p>
          <w:p w14:paraId="531AF9D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82% urbanización con Santo Domingo como metrópoli de consumo activa y moderna</w:t>
            </w:r>
          </w:p>
          <w:p w14:paraId="4CEED5D0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Sector hotelero masivo demanda franquicias de F&amp;B con calidad y consistencia internacional</w:t>
            </w:r>
          </w:p>
          <w:p w14:paraId="018D755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Afinidad cultural total con México — español, música latina, cultura compartida sin fricción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2ADA555B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15094EF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Dependencia del turismo — componente estacional afecta la demanda en temporada baja</w:t>
            </w:r>
          </w:p>
          <w:p w14:paraId="21281777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Alta desigualdad interna — mercado de consumo concentrado en clase media-alta y turismo</w:t>
            </w:r>
          </w:p>
          <w:p w14:paraId="1A19005E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~120 sistemas activos</w:t>
            </w:r>
          </w:p>
          <w:p w14:paraId="4C2FE6F5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11% anual</w:t>
            </w:r>
          </w:p>
        </w:tc>
      </w:tr>
    </w:tbl>
    <w:p w14:paraId="2243EBA8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4"/>
        <w:gridCol w:w="1402"/>
        <w:gridCol w:w="1403"/>
        <w:gridCol w:w="705"/>
        <w:gridCol w:w="699"/>
        <w:gridCol w:w="1402"/>
        <w:gridCol w:w="24"/>
        <w:gridCol w:w="1380"/>
        <w:gridCol w:w="1408"/>
        <w:gridCol w:w="14"/>
      </w:tblGrid>
      <w:tr w:rsidR="005F4008" w14:paraId="2F5CC958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22B4632D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08  </w:t>
            </w:r>
            <w:r>
              <w:rPr>
                <w:b/>
                <w:bCs/>
                <w:color w:val="FFFFFF"/>
                <w:sz w:val="32"/>
                <w:szCs w:val="32"/>
              </w:rPr>
              <w:t>🇦🇷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ARGENTINA</w:t>
            </w:r>
            <w:proofErr w:type="gramEnd"/>
          </w:p>
          <w:p w14:paraId="7D4D7256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93% urbana y clase media educada con cultura gastronómica excepcional — en recuperación acelerada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1F2847E7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675B29BB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CON ESQUEMA USD</w:t>
            </w:r>
          </w:p>
        </w:tc>
      </w:tr>
      <w:tr w:rsidR="005F4008" w14:paraId="2C454B8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09B7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46M</w:t>
            </w:r>
          </w:p>
          <w:p w14:paraId="777275A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8DFD5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$684B</w:t>
            </w:r>
          </w:p>
          <w:p w14:paraId="3E4FEFE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598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$14,360</w:t>
            </w:r>
          </w:p>
          <w:p w14:paraId="70DC32C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45A0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5.0%</w:t>
            </w:r>
          </w:p>
          <w:p w14:paraId="384F7E4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AC80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32%</w:t>
            </w:r>
          </w:p>
          <w:p w14:paraId="4105946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F39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93%</w:t>
            </w:r>
          </w:p>
          <w:p w14:paraId="14A334C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D4B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32 años</w:t>
            </w:r>
          </w:p>
          <w:p w14:paraId="56E863B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7B1B16B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796F45CB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3CD56F1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93% de urbanización — la más alta de América Latina — mercado casi exclusivamente urbano y sofisticado</w:t>
            </w:r>
          </w:p>
          <w:p w14:paraId="6313800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Clase media educada con cultura excepcional de restaurantes, cafés y vida nocturna</w:t>
            </w:r>
          </w:p>
          <w:p w14:paraId="7E2348A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5% de crecimiento en 2025 — recuperación notable bajo programa de estabilización Milei</w:t>
            </w:r>
          </w:p>
          <w:p w14:paraId="2AA6629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Buenos Aires: una de las ciudades gastronómicas más vibrantes y experimentadas de América</w:t>
            </w:r>
          </w:p>
          <w:p w14:paraId="4C22134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~1,500 sistemas de franquicia activos — know-how local para recibir marcas extranjeras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524B4AE3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2D84BF1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Inflación del 32% — todos los contratos de franquicia DEBEN estructurarse en USD</w:t>
            </w:r>
          </w:p>
          <w:p w14:paraId="58A4441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Historial de controles cambiarios y cambios regulatorios abruptos — riesgo sistémico a gestionar</w:t>
            </w:r>
          </w:p>
          <w:p w14:paraId="30D481D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Crisis económicas cíclicas recurrentes limitan la planificación de largo plazo</w:t>
            </w:r>
          </w:p>
          <w:p w14:paraId="6386E9E1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~1,500 sistemas activos</w:t>
            </w:r>
          </w:p>
          <w:p w14:paraId="49C73A79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Contratos en USD: requisito no negociable</w:t>
            </w:r>
          </w:p>
        </w:tc>
      </w:tr>
    </w:tbl>
    <w:p w14:paraId="59432D64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26A71722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0131371D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09  </w:t>
            </w:r>
            <w:r>
              <w:rPr>
                <w:b/>
                <w:bCs/>
                <w:color w:val="FFFFFF"/>
                <w:sz w:val="32"/>
                <w:szCs w:val="32"/>
              </w:rPr>
              <w:t>🇨🇷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COSTA</w:t>
            </w:r>
            <w:proofErr w:type="gramEnd"/>
            <w:r>
              <w:rPr>
                <w:b/>
                <w:bCs/>
                <w:color w:val="FFFFFF"/>
                <w:sz w:val="32"/>
                <w:szCs w:val="32"/>
              </w:rPr>
              <w:t xml:space="preserve"> RICA</w:t>
            </w:r>
          </w:p>
          <w:p w14:paraId="581C0895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La Suiza de Centroamérica — el mayor PIB per cápita de la región y turismo premium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46822D0C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0B070067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ENTRADA RECOMENDADA</w:t>
            </w:r>
          </w:p>
        </w:tc>
      </w:tr>
      <w:tr w:rsidR="005F4008" w14:paraId="0D08AAF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312A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5.2M</w:t>
            </w:r>
          </w:p>
          <w:p w14:paraId="747E12D6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5A23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$103B</w:t>
            </w:r>
          </w:p>
          <w:p w14:paraId="244DD9C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469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$19,100</w:t>
            </w:r>
          </w:p>
          <w:p w14:paraId="4E05124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F87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4.5%</w:t>
            </w:r>
          </w:p>
          <w:p w14:paraId="34DDD78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32C2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1.5%</w:t>
            </w:r>
          </w:p>
          <w:p w14:paraId="38DF23F4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1B8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80%</w:t>
            </w:r>
          </w:p>
          <w:p w14:paraId="51F5279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F81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33 años</w:t>
            </w:r>
          </w:p>
          <w:p w14:paraId="11693AF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2F288EB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2093A245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5AC4F10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de $19,100 — el más alto de toda Centroamérica</w:t>
            </w:r>
          </w:p>
          <w:p w14:paraId="5060849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Inflación de solo 1.5% — la más baja y estable de la región centroamericana</w:t>
            </w:r>
          </w:p>
          <w:p w14:paraId="21CAB0C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Democracia más estable de Centroamérica — ambiente institucional predecible y confiable</w:t>
            </w:r>
          </w:p>
          <w:p w14:paraId="77EB9C2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Turismo ecológico de alto valor genera demanda premium constante en zonas clave</w:t>
            </w:r>
          </w:p>
          <w:p w14:paraId="24D34FC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</w:t>
            </w:r>
            <w:proofErr w:type="spellStart"/>
            <w:r>
              <w:rPr>
                <w:color w:val="1A1A1A"/>
                <w:sz w:val="18"/>
                <w:szCs w:val="18"/>
              </w:rPr>
              <w:t>Hubs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tecnológicos (Intel, Amazon, Microsoft) con clase media profesional muy activa en consumo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59A94336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4D84635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pequeño (5.2M) — escala limitada para modelo de franquicia de alto volumen</w:t>
            </w:r>
          </w:p>
          <w:p w14:paraId="6AE473BF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Competencia ya intensa con marcas norteamericanas bien establecidas (McDonald's, KFC, </w:t>
            </w:r>
            <w:proofErr w:type="spellStart"/>
            <w:r>
              <w:rPr>
                <w:color w:val="1A1A1A"/>
                <w:sz w:val="18"/>
                <w:szCs w:val="18"/>
              </w:rPr>
              <w:t>Subway</w:t>
            </w:r>
            <w:proofErr w:type="spellEnd"/>
            <w:r>
              <w:rPr>
                <w:color w:val="1A1A1A"/>
                <w:sz w:val="18"/>
                <w:szCs w:val="18"/>
              </w:rPr>
              <w:t>)</w:t>
            </w:r>
          </w:p>
          <w:p w14:paraId="5939507C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~100 sistemas activos</w:t>
            </w:r>
          </w:p>
          <w:p w14:paraId="06D186AF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8% anual</w:t>
            </w:r>
          </w:p>
        </w:tc>
      </w:tr>
    </w:tbl>
    <w:p w14:paraId="41F6C8BC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5A25E307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337FA31F" w14:textId="77777777" w:rsidR="005F4008" w:rsidRDefault="008959FE">
            <w:pPr>
              <w:spacing w:after="60"/>
            </w:pP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 xml:space="preserve">10  </w:t>
            </w:r>
            <w:r>
              <w:rPr>
                <w:b/>
                <w:bCs/>
                <w:color w:val="FFFFFF"/>
                <w:sz w:val="32"/>
                <w:szCs w:val="32"/>
              </w:rPr>
              <w:t>🇺🇾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URUGUAY</w:t>
            </w:r>
            <w:proofErr w:type="gramEnd"/>
          </w:p>
          <w:p w14:paraId="42A1B966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El país más igualitario de América Latina — 96% urbano con clase media sólida y estable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51524F6D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5DBDEC7A" w14:textId="77777777" w:rsidR="005F4008" w:rsidRDefault="008959FE">
            <w:pPr>
              <w:spacing w:after="60"/>
              <w:jc w:val="right"/>
            </w:pPr>
            <w:proofErr w:type="gramStart"/>
            <w:r>
              <w:rPr>
                <w:b/>
                <w:bCs/>
                <w:color w:val="C8A951"/>
              </w:rPr>
              <w:t>HUB</w:t>
            </w:r>
            <w:proofErr w:type="gramEnd"/>
            <w:r>
              <w:rPr>
                <w:b/>
                <w:bCs/>
                <w:color w:val="C8A951"/>
              </w:rPr>
              <w:t xml:space="preserve"> REGIONAL MERCOSUR</w:t>
            </w:r>
          </w:p>
        </w:tc>
      </w:tr>
      <w:tr w:rsidR="005F4008" w14:paraId="3D3A07B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3742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3.6M</w:t>
            </w:r>
          </w:p>
          <w:p w14:paraId="200C22F6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F7B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$80B</w:t>
            </w:r>
          </w:p>
          <w:p w14:paraId="561D9BE5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28DA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$22,069</w:t>
            </w:r>
          </w:p>
          <w:p w14:paraId="1C3174B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A48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3.0%</w:t>
            </w:r>
          </w:p>
          <w:p w14:paraId="06F1F2E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91E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5.5%</w:t>
            </w:r>
          </w:p>
          <w:p w14:paraId="098D47E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1B80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96%</w:t>
            </w:r>
          </w:p>
          <w:p w14:paraId="4787A1E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727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36 años</w:t>
            </w:r>
          </w:p>
          <w:p w14:paraId="0443EF25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0540BE0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764747A1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2793DC4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de $22,069 con 96% de urbanización — la combinación más alta de LATAM</w:t>
            </w:r>
          </w:p>
          <w:p w14:paraId="6E7591B0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Menor corrupción y mayor estabilidad institucional de toda América Latina (sostenidamente)</w:t>
            </w:r>
          </w:p>
          <w:p w14:paraId="2F62F23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Montevideo con cultura gastronómica sofisticada y alta apertura a marcas internacionales nuevas</w:t>
            </w:r>
          </w:p>
          <w:p w14:paraId="01F3FE2F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Plataforma estratégica de acceso al bloque Mercosur (Brasil, Argentina, Paraguay)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086AF365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0A08248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muy pequeño (3.6M) — sin escala suficiente como mercado principal</w:t>
            </w:r>
          </w:p>
          <w:p w14:paraId="756D969C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Economía madura con competencia ya establecida en todos los segmentos de F&amp;B</w:t>
            </w:r>
          </w:p>
          <w:p w14:paraId="0837D83D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~80 sistemas activos</w:t>
            </w:r>
          </w:p>
          <w:p w14:paraId="616F4897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6% anual</w:t>
            </w:r>
          </w:p>
        </w:tc>
      </w:tr>
    </w:tbl>
    <w:p w14:paraId="1FC78922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0E638402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44E4AEB9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🇵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🇾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PARAGUAY</w:t>
            </w:r>
            <w:proofErr w:type="gramEnd"/>
          </w:p>
          <w:p w14:paraId="140FD317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10% de impuesto a la renta y crecimiento sólido — Asunción con clase media emergente activa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3E21D1B4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3276B0A5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POTENCIAL MEDIO</w:t>
            </w:r>
          </w:p>
        </w:tc>
      </w:tr>
      <w:tr w:rsidR="005F4008" w14:paraId="42E18B2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00F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7.5M</w:t>
            </w:r>
          </w:p>
          <w:p w14:paraId="1F4CEA94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FF1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$45B</w:t>
            </w:r>
          </w:p>
          <w:p w14:paraId="1A7AE31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69DE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$6,524</w:t>
            </w:r>
          </w:p>
          <w:p w14:paraId="36C3A73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BB9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4.5%</w:t>
            </w:r>
          </w:p>
          <w:p w14:paraId="43701699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D2C2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4.0%</w:t>
            </w:r>
          </w:p>
          <w:p w14:paraId="65E53AE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EB3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63%</w:t>
            </w:r>
          </w:p>
          <w:p w14:paraId="721C3AC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8AF8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26 años</w:t>
            </w:r>
          </w:p>
          <w:p w14:paraId="28438F6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2A0CC8D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61A45977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7909258F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Impuesto a la renta corporativo del 10% — uno de los más bajos de todo América Latina</w:t>
            </w:r>
          </w:p>
          <w:p w14:paraId="6EF2DE66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4.5% de crecimiento sostenido con inflación controlada — macroeconomía estable y predecible</w:t>
            </w:r>
          </w:p>
          <w:p w14:paraId="764AEE3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Asunción con clase media creciente y apertura genuina a marcas y conceptos internacionales</w:t>
            </w:r>
          </w:p>
          <w:p w14:paraId="33A14A8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</w:t>
            </w:r>
            <w:proofErr w:type="gramStart"/>
            <w:r>
              <w:rPr>
                <w:color w:val="1A1A1A"/>
                <w:sz w:val="18"/>
                <w:szCs w:val="18"/>
              </w:rPr>
              <w:t>Hub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energético (Itaipú/</w:t>
            </w:r>
            <w:proofErr w:type="spellStart"/>
            <w:r>
              <w:rPr>
                <w:color w:val="1A1A1A"/>
                <w:sz w:val="18"/>
                <w:szCs w:val="18"/>
              </w:rPr>
              <w:t>Yacyretá</w:t>
            </w:r>
            <w:proofErr w:type="spellEnd"/>
            <w:r>
              <w:rPr>
                <w:color w:val="1A1A1A"/>
                <w:sz w:val="18"/>
                <w:szCs w:val="18"/>
              </w:rPr>
              <w:t>) — electricidad más barata de la región reduce costos operativos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4DB5372C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3C125ED0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pequeño (7.5M)</w:t>
            </w:r>
          </w:p>
          <w:p w14:paraId="27CC248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Alta informalidad económica en sectores comerciales</w:t>
            </w:r>
          </w:p>
          <w:p w14:paraId="5DA16BFC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Percepción de corrupción moderada-alta puede complicar trámites y permisos</w:t>
            </w:r>
          </w:p>
          <w:p w14:paraId="14B89DCF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~60 sistemas activos</w:t>
            </w:r>
          </w:p>
          <w:p w14:paraId="098AB9F6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8% anual</w:t>
            </w:r>
          </w:p>
        </w:tc>
      </w:tr>
    </w:tbl>
    <w:p w14:paraId="4781BBF8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4C47E084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5714E718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🇸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🇻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EL</w:t>
            </w:r>
            <w:proofErr w:type="gramEnd"/>
            <w:r>
              <w:rPr>
                <w:b/>
                <w:bCs/>
                <w:color w:val="FFFFFF"/>
                <w:sz w:val="32"/>
                <w:szCs w:val="32"/>
              </w:rPr>
              <w:t xml:space="preserve"> SALVADOR</w:t>
            </w:r>
          </w:p>
          <w:p w14:paraId="57F260EE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Economía dolarizada con inflación mínima — seguridad recuperada y remesas como motor de consumo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087D62CE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4D44323B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POTENCIAL MEDIO</w:t>
            </w:r>
          </w:p>
        </w:tc>
      </w:tr>
      <w:tr w:rsidR="005F4008" w14:paraId="2F14BEE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150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6.4M</w:t>
            </w:r>
          </w:p>
          <w:p w14:paraId="659D592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3223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$37B</w:t>
            </w:r>
          </w:p>
          <w:p w14:paraId="3BF5408C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1227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$5,720</w:t>
            </w:r>
          </w:p>
          <w:p w14:paraId="5F572D1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9E42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3.5%</w:t>
            </w:r>
          </w:p>
          <w:p w14:paraId="2F61D434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9F4A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1.5%</w:t>
            </w:r>
          </w:p>
          <w:p w14:paraId="19E9AFE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DF87A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75%</w:t>
            </w:r>
          </w:p>
          <w:p w14:paraId="740225B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4BE0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28 años</w:t>
            </w:r>
          </w:p>
          <w:p w14:paraId="29048FF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:rsidRPr="00A50084" w14:paraId="0030535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49ED0753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253EDFB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USD como moneda oficial — </w:t>
            </w:r>
            <w:proofErr w:type="gramStart"/>
            <w:r>
              <w:rPr>
                <w:color w:val="1A1A1A"/>
                <w:sz w:val="18"/>
                <w:szCs w:val="18"/>
              </w:rPr>
              <w:t>cero riesgo cambiario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para toda la operación de franquicia</w:t>
            </w:r>
          </w:p>
          <w:p w14:paraId="7818F37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Inflación de solo 1.5% — condiciones de precio más estables que la mayoría de la región</w:t>
            </w:r>
          </w:p>
          <w:p w14:paraId="704074AA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Remesas desde EUA ($8B+/año, 25% del PIB) crean consumo doméstico constante y robusto</w:t>
            </w:r>
          </w:p>
          <w:p w14:paraId="73C8A18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Mejora dramática de seguridad (2023-2025) ha creado nuevo clima de inversión y consumo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72EAB1E7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30B7EBB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relativamente pequeño (6.4M)</w:t>
            </w:r>
          </w:p>
          <w:p w14:paraId="1ADAD4FA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moderado — segmento objetivo es precio accesible</w:t>
            </w:r>
          </w:p>
          <w:p w14:paraId="58293A3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Dependencia de remesas hace la economía vulnerable a política migratoria de EUA</w:t>
            </w:r>
          </w:p>
          <w:p w14:paraId="40AAF6B8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~60 sistemas activos</w:t>
            </w:r>
          </w:p>
          <w:p w14:paraId="79C7C728" w14:textId="77777777" w:rsidR="005F4008" w:rsidRPr="00A50084" w:rsidRDefault="008959FE">
            <w:pPr>
              <w:spacing w:after="30"/>
              <w:rPr>
                <w:lang w:val="pt-PT"/>
              </w:rPr>
            </w:pPr>
            <w:r w:rsidRPr="00A50084">
              <w:rPr>
                <w:color w:val="888888"/>
                <w:sz w:val="17"/>
                <w:szCs w:val="17"/>
                <w:lang w:val="pt-PT"/>
              </w:rPr>
              <w:t>Foodservice CAGR: 7% anual</w:t>
            </w:r>
          </w:p>
        </w:tc>
      </w:tr>
    </w:tbl>
    <w:p w14:paraId="58F9727D" w14:textId="77777777" w:rsidR="005F4008" w:rsidRPr="00A50084" w:rsidRDefault="005F4008">
      <w:pPr>
        <w:spacing w:after="200"/>
        <w:rPr>
          <w:lang w:val="pt-PT"/>
        </w:rPr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4567E31B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74AA0F5B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🇧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🇴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BOLIVIA</w:t>
            </w:r>
            <w:proofErr w:type="gramEnd"/>
          </w:p>
          <w:p w14:paraId="3B1C1E81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Santa Cruz de la Sierra como polo de crecimiento — economía en transición política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40CB0BDC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4892DE53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POTENCIAL A MEDIANO PLAZO</w:t>
            </w:r>
          </w:p>
        </w:tc>
      </w:tr>
      <w:tr w:rsidR="005F4008" w14:paraId="62FB770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4B3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12M</w:t>
            </w:r>
          </w:p>
          <w:p w14:paraId="7DD15C1B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78AF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$56B</w:t>
            </w:r>
          </w:p>
          <w:p w14:paraId="766DBB9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B73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$4,530</w:t>
            </w:r>
          </w:p>
          <w:p w14:paraId="4AFCBDA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3D035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2.5%</w:t>
            </w:r>
          </w:p>
          <w:p w14:paraId="765771B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925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3.5%</w:t>
            </w:r>
          </w:p>
          <w:p w14:paraId="44A4B5B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604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71%</w:t>
            </w:r>
          </w:p>
          <w:p w14:paraId="640A66B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D80A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26 años</w:t>
            </w:r>
          </w:p>
          <w:p w14:paraId="5A53FC1B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07E4114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6412B5AA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3CD01E57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Santa Cruz de la Sierra: polo de crecimiento dinámico con clase media emergente muy activa</w:t>
            </w:r>
          </w:p>
          <w:p w14:paraId="1728B272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71% urbanización con La Paz y Cochabamba como mercados adicionales</w:t>
            </w:r>
          </w:p>
          <w:p w14:paraId="0F5273C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Costos operativos bajos — modelo de bajo </w:t>
            </w:r>
            <w:proofErr w:type="gramStart"/>
            <w:r>
              <w:rPr>
                <w:color w:val="1A1A1A"/>
                <w:sz w:val="18"/>
                <w:szCs w:val="18"/>
              </w:rPr>
              <w:t>ticket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puede ser muy rentable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6930E4F2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13CC0C9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Inestabilidad política crónica — tensiones entre gobierno central y regiones productivas</w:t>
            </w:r>
          </w:p>
          <w:p w14:paraId="160B5C7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bajo ($4,530) — precio accesible es requisito, no opción</w:t>
            </w:r>
          </w:p>
          <w:p w14:paraId="4CE7EF4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Reservas internacionales en niveles mínimos — riesgo macroeconómico latente</w:t>
            </w:r>
          </w:p>
          <w:p w14:paraId="78D2E4F5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~50 sistemas activos</w:t>
            </w:r>
          </w:p>
          <w:p w14:paraId="4DA6825D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Mercado interesante a 3-5 años si se estabiliza el panorama político</w:t>
            </w:r>
          </w:p>
        </w:tc>
      </w:tr>
    </w:tbl>
    <w:p w14:paraId="53770B42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16ECDEDB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18F7CD9A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🇭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🇳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HONDURAS</w:t>
            </w:r>
            <w:proofErr w:type="gramEnd"/>
          </w:p>
          <w:p w14:paraId="759752A0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Remesas como motor de consumo — Tegucigalpa y San Pedro Sula en expansión comercial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4949C17B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2D90612E" w14:textId="77777777" w:rsidR="005F4008" w:rsidRDefault="008959FE">
            <w:pPr>
              <w:spacing w:after="60"/>
              <w:jc w:val="right"/>
            </w:pPr>
            <w:proofErr w:type="gramStart"/>
            <w:r>
              <w:rPr>
                <w:b/>
                <w:bCs/>
                <w:color w:val="C8A951"/>
              </w:rPr>
              <w:t>POTENCIAL A DESARROLLAR</w:t>
            </w:r>
            <w:proofErr w:type="gramEnd"/>
          </w:p>
        </w:tc>
      </w:tr>
      <w:tr w:rsidR="005F4008" w14:paraId="74EAE90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336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10.5M</w:t>
            </w:r>
          </w:p>
          <w:p w14:paraId="3F77BB75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4FB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$38B</w:t>
            </w:r>
          </w:p>
          <w:p w14:paraId="3681317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44960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$3,520</w:t>
            </w:r>
          </w:p>
          <w:p w14:paraId="5D8FADDB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D9D6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3.5%</w:t>
            </w:r>
          </w:p>
          <w:p w14:paraId="615D238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F67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5.5%</w:t>
            </w:r>
          </w:p>
          <w:p w14:paraId="3783255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6D37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58%</w:t>
            </w:r>
          </w:p>
          <w:p w14:paraId="2BD9BA3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89C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24 años</w:t>
            </w:r>
          </w:p>
          <w:p w14:paraId="5A5B201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28FA9B0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72FB5144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2E698ABA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Remesas (25%+ del PIB) crean consumo constante y clase media emergente en ciudades</w:t>
            </w:r>
          </w:p>
          <w:p w14:paraId="21FBC023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San Pedro Sula como polo industrial y comercial en expansión acelerada</w:t>
            </w:r>
          </w:p>
          <w:p w14:paraId="5206CBE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Crecimiento del 3.5% sostenido — economía resiliente a pesar de desafíos estructurales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69C8C71D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568B82D8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PIB per cápita muy bajo ($3,520) — operación solo viable con </w:t>
            </w:r>
            <w:proofErr w:type="gramStart"/>
            <w:r>
              <w:rPr>
                <w:color w:val="1A1A1A"/>
                <w:sz w:val="18"/>
                <w:szCs w:val="18"/>
              </w:rPr>
              <w:t>ticket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y costos bajos</w:t>
            </w:r>
          </w:p>
          <w:p w14:paraId="4127741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Inseguridad persistente en algunas zonas limita ubicaciones posibles</w:t>
            </w:r>
          </w:p>
          <w:p w14:paraId="219E0F4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Infraestructura comercial limitada fuera de las dos ciudades principales</w:t>
            </w:r>
          </w:p>
          <w:p w14:paraId="47BC8D47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~50 sistemas activos</w:t>
            </w:r>
          </w:p>
          <w:p w14:paraId="2784B403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 xml:space="preserve">Oportunidad de </w:t>
            </w:r>
            <w:proofErr w:type="spellStart"/>
            <w:r>
              <w:rPr>
                <w:color w:val="888888"/>
                <w:sz w:val="17"/>
                <w:szCs w:val="17"/>
              </w:rPr>
              <w:t>first</w:t>
            </w:r>
            <w:proofErr w:type="spellEnd"/>
            <w:r>
              <w:rPr>
                <w:color w:val="888888"/>
                <w:sz w:val="17"/>
                <w:szCs w:val="17"/>
              </w:rPr>
              <w:t>-mover en mercado con poca competencia formal</w:t>
            </w:r>
          </w:p>
        </w:tc>
      </w:tr>
    </w:tbl>
    <w:p w14:paraId="311B11E6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0C0A8264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768A65AA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🇳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🇮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NICARAGUA</w:t>
            </w:r>
            <w:proofErr w:type="gramEnd"/>
          </w:p>
          <w:p w14:paraId="366B250B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Crecimiento del 4% y costos muy bajos — pero riesgo político alto bajo régimen Ortega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4778DB41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028038AA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RIESGO ELEVADO</w:t>
            </w:r>
          </w:p>
        </w:tc>
      </w:tr>
      <w:tr w:rsidR="005F4008" w14:paraId="0EF58D8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E564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7M</w:t>
            </w:r>
          </w:p>
          <w:p w14:paraId="43C4D422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AEA61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$20B</w:t>
            </w:r>
          </w:p>
          <w:p w14:paraId="4ACE6FD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6F6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$2,860</w:t>
            </w:r>
          </w:p>
          <w:p w14:paraId="480C1DB4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5C3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4.0%</w:t>
            </w:r>
          </w:p>
          <w:p w14:paraId="07CB151C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863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6.0%</w:t>
            </w:r>
          </w:p>
          <w:p w14:paraId="2A2A20C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57D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60%</w:t>
            </w:r>
          </w:p>
          <w:p w14:paraId="3F32ABA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FA03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26 años</w:t>
            </w:r>
          </w:p>
          <w:p w14:paraId="0BF9F340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4297C5CF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7D43657B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1D99200A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4% de crecimiento con costos operativos muy bajos — potencial de margen alto</w:t>
            </w:r>
          </w:p>
          <w:p w14:paraId="166ED8F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Managua como mercado urbano emergente con espacio para primeras franquicias formales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3585E0C2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6C0C3D5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Régimen autoritario — riesgo político y de expropiación históricamente documentado</w:t>
            </w:r>
          </w:p>
          <w:p w14:paraId="2C99AAF7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Sanciones internacionales limitan acceso a servicios financieros e instrumentos bancarios</w:t>
            </w:r>
          </w:p>
          <w:p w14:paraId="1E408B7E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PIB per cápita muy bajo — mercado de consumo formal muy reducido</w:t>
            </w:r>
          </w:p>
          <w:p w14:paraId="2D34185F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Monitorear: cambio político podría abrir oportunidades significativas en 5+ años</w:t>
            </w:r>
          </w:p>
        </w:tc>
      </w:tr>
    </w:tbl>
    <w:p w14:paraId="538C731C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21D3BD6E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4E28DC00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🇧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🇿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BELICE</w:t>
            </w:r>
            <w:proofErr w:type="gramEnd"/>
          </w:p>
          <w:p w14:paraId="108CDC3F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Único país angloparlante de Centroamérica — proximidad natural con México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06EA141D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Centroamérica</w:t>
            </w:r>
          </w:p>
          <w:p w14:paraId="5D124AFD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NICHO TURÍSTICO</w:t>
            </w:r>
          </w:p>
        </w:tc>
      </w:tr>
      <w:tr w:rsidR="005F4008" w14:paraId="1858F9A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DF8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450K</w:t>
            </w:r>
          </w:p>
          <w:p w14:paraId="2F8B261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786E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$3.4B</w:t>
            </w:r>
          </w:p>
          <w:p w14:paraId="2C58B90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FE30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$7,560</w:t>
            </w:r>
          </w:p>
          <w:p w14:paraId="7A8768C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79D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4.5%</w:t>
            </w:r>
          </w:p>
          <w:p w14:paraId="3A6BAA4A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A9A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2.5%</w:t>
            </w:r>
          </w:p>
          <w:p w14:paraId="30296487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685C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46%</w:t>
            </w:r>
          </w:p>
          <w:p w14:paraId="5A6A58A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DB16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27 años</w:t>
            </w:r>
          </w:p>
          <w:p w14:paraId="6659A698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194B7D4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286D31E3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001FA53D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 xml:space="preserve">• </w:t>
            </w:r>
            <w:proofErr w:type="gramStart"/>
            <w:r>
              <w:rPr>
                <w:color w:val="1A1A1A"/>
                <w:sz w:val="18"/>
                <w:szCs w:val="18"/>
              </w:rPr>
              <w:t>Inglés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oficial — acceso al consumidor angloparlante del Caribe y turistas americanos</w:t>
            </w:r>
          </w:p>
          <w:p w14:paraId="5912CB7B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Proximidad total con México (Yucatán, Q. Roo) — expansión natural desde la frontera sur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411521F9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62C5321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Mercado micro (450K habitantes) — sin escala para modelo estándar de franquicia</w:t>
            </w:r>
          </w:p>
          <w:p w14:paraId="421F4DA9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Sin infraestructura de franquicias desarrollada</w:t>
            </w:r>
          </w:p>
          <w:p w14:paraId="45F313CD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 xml:space="preserve">Viable únicamente como operación turística en zonas hoteleras de </w:t>
            </w:r>
            <w:proofErr w:type="spellStart"/>
            <w:r>
              <w:rPr>
                <w:color w:val="888888"/>
                <w:sz w:val="17"/>
                <w:szCs w:val="17"/>
              </w:rPr>
              <w:t>Ambergris</w:t>
            </w:r>
            <w:proofErr w:type="spellEnd"/>
            <w:r>
              <w:rPr>
                <w:color w:val="888888"/>
                <w:sz w:val="17"/>
                <w:szCs w:val="17"/>
              </w:rPr>
              <w:t xml:space="preserve"> Caye o Belize City</w:t>
            </w:r>
          </w:p>
        </w:tc>
      </w:tr>
    </w:tbl>
    <w:p w14:paraId="00121CE2" w14:textId="77777777" w:rsidR="005F4008" w:rsidRDefault="005F4008">
      <w:pPr>
        <w:spacing w:after="200"/>
      </w:pPr>
    </w:p>
    <w:tbl>
      <w:tblPr>
        <w:tblW w:w="984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1393"/>
        <w:gridCol w:w="1402"/>
        <w:gridCol w:w="1403"/>
        <w:gridCol w:w="705"/>
        <w:gridCol w:w="699"/>
        <w:gridCol w:w="1402"/>
        <w:gridCol w:w="24"/>
        <w:gridCol w:w="1380"/>
        <w:gridCol w:w="1409"/>
        <w:gridCol w:w="14"/>
      </w:tblGrid>
      <w:tr w:rsidR="005F4008" w14:paraId="1EADF159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7040" w:type="dxa"/>
            <w:gridSpan w:val="7"/>
            <w:tcBorders>
              <w:top w:val="single" w:sz="8" w:space="0" w:color="2E7D52"/>
              <w:left w:val="single" w:sz="8" w:space="0" w:color="2E7D52"/>
              <w:bottom w:val="single" w:sz="2" w:space="0" w:color="1A5C38"/>
              <w:right w:val="none" w:sz="0" w:space="0" w:color="FFFFFF"/>
            </w:tcBorders>
            <w:shd w:val="clear" w:color="auto" w:fill="2E7D52"/>
            <w:tcMar>
              <w:top w:w="120" w:type="dxa"/>
              <w:left w:w="220" w:type="dxa"/>
              <w:bottom w:w="120" w:type="dxa"/>
              <w:right w:w="100" w:type="dxa"/>
            </w:tcMar>
          </w:tcPr>
          <w:p w14:paraId="51EAC8E4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🇪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🇨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 ECUADOR</w:t>
            </w:r>
            <w:proofErr w:type="gramEnd"/>
          </w:p>
          <w:p w14:paraId="3729B4E9" w14:textId="77777777" w:rsidR="005F4008" w:rsidRDefault="008959FE">
            <w:pPr>
              <w:spacing w:after="60"/>
            </w:pPr>
            <w:r>
              <w:rPr>
                <w:color w:val="DDEECC"/>
                <w:sz w:val="18"/>
                <w:szCs w:val="18"/>
              </w:rPr>
              <w:t>Economía dolarizada en recuperación — Quito y Guayaquil con clase media activa</w:t>
            </w:r>
          </w:p>
        </w:tc>
        <w:tc>
          <w:tcPr>
            <w:tcW w:w="2800" w:type="dxa"/>
            <w:gridSpan w:val="3"/>
            <w:tcBorders>
              <w:top w:val="single" w:sz="8" w:space="0" w:color="2E7D52"/>
              <w:left w:val="none" w:sz="0" w:space="0" w:color="FFFFFF"/>
              <w:bottom w:val="single" w:sz="2" w:space="0" w:color="1A5C38"/>
              <w:right w:val="single" w:sz="8" w:space="0" w:color="2E7D52"/>
            </w:tcBorders>
            <w:shd w:val="clear" w:color="auto" w:fill="1A5C38"/>
            <w:tcMar>
              <w:top w:w="120" w:type="dxa"/>
              <w:left w:w="100" w:type="dxa"/>
              <w:bottom w:w="120" w:type="dxa"/>
              <w:right w:w="220" w:type="dxa"/>
            </w:tcMar>
          </w:tcPr>
          <w:p w14:paraId="560E2D34" w14:textId="77777777" w:rsidR="005F4008" w:rsidRDefault="008959FE">
            <w:pPr>
              <w:spacing w:after="60"/>
              <w:jc w:val="right"/>
            </w:pPr>
            <w:r>
              <w:rPr>
                <w:color w:val="BBDDCC"/>
                <w:sz w:val="18"/>
                <w:szCs w:val="18"/>
              </w:rPr>
              <w:t>Sudamérica</w:t>
            </w:r>
          </w:p>
          <w:p w14:paraId="78E90691" w14:textId="77777777" w:rsidR="005F4008" w:rsidRDefault="008959FE">
            <w:pPr>
              <w:spacing w:after="60"/>
              <w:jc w:val="right"/>
            </w:pPr>
            <w:r>
              <w:rPr>
                <w:b/>
                <w:bCs/>
                <w:color w:val="C8A951"/>
              </w:rPr>
              <w:t>POTENCIAL CONDICIONADO</w:t>
            </w:r>
          </w:p>
        </w:tc>
      </w:tr>
      <w:tr w:rsidR="005F4008" w14:paraId="6E94E175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</w:trPr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A2C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18M</w:t>
            </w:r>
          </w:p>
          <w:p w14:paraId="2342402E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Población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F6E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$126B</w:t>
            </w:r>
          </w:p>
          <w:p w14:paraId="36A10616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 Nominal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51BB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$6,940</w:t>
            </w:r>
          </w:p>
          <w:p w14:paraId="151367AD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PIB/cápita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0B2D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2.0%</w:t>
            </w:r>
          </w:p>
          <w:p w14:paraId="6C228115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Crecimiento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E444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2.0%</w:t>
            </w:r>
          </w:p>
          <w:p w14:paraId="7047ABE3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Inflación</w:t>
            </w:r>
          </w:p>
        </w:tc>
        <w:tc>
          <w:tcPr>
            <w:tcW w:w="1405" w:type="dxa"/>
            <w:gridSpan w:val="2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239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65%</w:t>
            </w:r>
          </w:p>
          <w:p w14:paraId="1C54600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Urbanización</w:t>
            </w:r>
          </w:p>
        </w:tc>
        <w:tc>
          <w:tcPr>
            <w:tcW w:w="1405" w:type="dxa"/>
            <w:tcBorders>
              <w:top w:val="single" w:sz="1" w:space="0" w:color="AACCAA"/>
              <w:left w:val="single" w:sz="1" w:space="0" w:color="AACCAA"/>
              <w:bottom w:val="single" w:sz="1" w:space="0" w:color="AACCAA"/>
              <w:right w:val="single" w:sz="1" w:space="0" w:color="AACCAA"/>
            </w:tcBorders>
            <w:shd w:val="clear" w:color="auto" w:fill="E8F5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3BB69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1A5C38"/>
                <w:sz w:val="22"/>
                <w:szCs w:val="22"/>
              </w:rPr>
              <w:t>29 años</w:t>
            </w:r>
          </w:p>
          <w:p w14:paraId="00699C11" w14:textId="77777777" w:rsidR="005F4008" w:rsidRDefault="008959FE">
            <w:pPr>
              <w:spacing w:after="60"/>
              <w:jc w:val="center"/>
            </w:pPr>
            <w:r>
              <w:rPr>
                <w:color w:val="2E7D52"/>
                <w:sz w:val="16"/>
                <w:szCs w:val="16"/>
              </w:rPr>
              <w:t>Edad mediana</w:t>
            </w:r>
          </w:p>
        </w:tc>
      </w:tr>
      <w:tr w:rsidR="005F4008" w14:paraId="0159BD6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4920" w:type="dxa"/>
            <w:gridSpan w:val="5"/>
            <w:tcBorders>
              <w:top w:val="single" w:sz="1" w:space="0" w:color="B8D8B8"/>
              <w:left w:val="single" w:sz="1" w:space="0" w:color="B8D8B8"/>
              <w:bottom w:val="single" w:sz="1" w:space="0" w:color="B8D8B8"/>
              <w:right w:val="single" w:sz="1" w:space="0" w:color="B8D8B8"/>
            </w:tcBorders>
            <w:shd w:val="clear" w:color="auto" w:fill="F2FAF2"/>
            <w:tcMar>
              <w:top w:w="120" w:type="dxa"/>
              <w:left w:w="160" w:type="dxa"/>
              <w:bottom w:w="120" w:type="dxa"/>
              <w:right w:w="100" w:type="dxa"/>
            </w:tcMar>
          </w:tcPr>
          <w:p w14:paraId="609A48EE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1A5C38"/>
                <w:sz w:val="19"/>
                <w:szCs w:val="19"/>
              </w:rPr>
              <w:t>✅</w:t>
            </w:r>
            <w:r>
              <w:rPr>
                <w:b/>
                <w:bCs/>
                <w:color w:val="1A5C38"/>
                <w:sz w:val="19"/>
                <w:szCs w:val="19"/>
              </w:rPr>
              <w:t xml:space="preserve">  Fortalezas</w:t>
            </w:r>
            <w:proofErr w:type="gramEnd"/>
            <w:r>
              <w:rPr>
                <w:b/>
                <w:bCs/>
                <w:color w:val="1A5C38"/>
                <w:sz w:val="19"/>
                <w:szCs w:val="19"/>
              </w:rPr>
              <w:t xml:space="preserve"> y oportunidades</w:t>
            </w:r>
          </w:p>
          <w:p w14:paraId="19ECAB41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USD como moneda — sin riesgo cambiario para franquicias</w:t>
            </w:r>
          </w:p>
          <w:p w14:paraId="27729975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Quito y Guayaquil con clase media activa y cultura de QSR en crecimiento</w:t>
            </w:r>
          </w:p>
        </w:tc>
        <w:tc>
          <w:tcPr>
            <w:tcW w:w="4920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4F4"/>
            <w:tcMar>
              <w:top w:w="120" w:type="dxa"/>
              <w:left w:w="100" w:type="dxa"/>
              <w:bottom w:w="120" w:type="dxa"/>
              <w:right w:w="160" w:type="dxa"/>
            </w:tcMar>
          </w:tcPr>
          <w:p w14:paraId="7275E3DC" w14:textId="77777777" w:rsidR="005F4008" w:rsidRDefault="008959FE">
            <w:pPr>
              <w:spacing w:after="80"/>
            </w:pPr>
            <w:proofErr w:type="gramStart"/>
            <w:r>
              <w:rPr>
                <w:b/>
                <w:bCs/>
                <w:color w:val="885500"/>
                <w:sz w:val="19"/>
                <w:szCs w:val="19"/>
              </w:rPr>
              <w:t>⚠</w:t>
            </w:r>
            <w:r>
              <w:rPr>
                <w:b/>
                <w:bCs/>
                <w:color w:val="885500"/>
                <w:sz w:val="19"/>
                <w:szCs w:val="19"/>
              </w:rPr>
              <w:t xml:space="preserve">  Consideraciones</w:t>
            </w:r>
            <w:proofErr w:type="gramEnd"/>
            <w:r>
              <w:rPr>
                <w:b/>
                <w:bCs/>
                <w:color w:val="885500"/>
                <w:sz w:val="19"/>
                <w:szCs w:val="19"/>
              </w:rPr>
              <w:t xml:space="preserve"> / Riesgos</w:t>
            </w:r>
          </w:p>
          <w:p w14:paraId="2FB35E44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Crecimiento lento (2.0%) y violencia urbana creciente limitan el potencial inmediato</w:t>
            </w:r>
          </w:p>
          <w:p w14:paraId="0F342D8C" w14:textId="77777777" w:rsidR="005F4008" w:rsidRDefault="008959FE">
            <w:pPr>
              <w:spacing w:after="40"/>
            </w:pPr>
            <w:r>
              <w:rPr>
                <w:color w:val="1A1A1A"/>
                <w:sz w:val="18"/>
                <w:szCs w:val="18"/>
              </w:rPr>
              <w:t>• Inestabilidad política recurrente afecta confianza inversora</w:t>
            </w:r>
          </w:p>
          <w:p w14:paraId="5FC41B57" w14:textId="77777777" w:rsidR="005F4008" w:rsidRDefault="008959FE">
            <w:pPr>
              <w:spacing w:after="30"/>
            </w:pPr>
            <w:r>
              <w:rPr>
                <w:color w:val="888888"/>
                <w:sz w:val="17"/>
                <w:szCs w:val="17"/>
              </w:rPr>
              <w:t>Potencial a 3-5 años si mejora la seguridad urbana — monitorear evolución</w:t>
            </w:r>
          </w:p>
        </w:tc>
      </w:tr>
    </w:tbl>
    <w:p w14:paraId="6AC33E34" w14:textId="77777777" w:rsidR="005F4008" w:rsidRDefault="005F4008">
      <w:pPr>
        <w:spacing w:after="200"/>
      </w:pPr>
    </w:p>
    <w:p w14:paraId="5F36366B" w14:textId="77777777" w:rsidR="005F4008" w:rsidRDefault="008959FE">
      <w:r>
        <w:br w:type="page"/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0"/>
      </w:tblGrid>
      <w:tr w:rsidR="005F4008" w14:paraId="6A555227" w14:textId="77777777">
        <w:tblPrEx>
          <w:tblCellMar>
            <w:top w:w="0" w:type="dxa"/>
            <w:bottom w:w="0" w:type="dxa"/>
          </w:tblCellMar>
        </w:tblPrEx>
        <w:tc>
          <w:tcPr>
            <w:tcW w:w="9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4A017"/>
            <w:tcMar>
              <w:top w:w="200" w:type="dxa"/>
              <w:left w:w="360" w:type="dxa"/>
              <w:bottom w:w="200" w:type="dxa"/>
              <w:right w:w="360" w:type="dxa"/>
            </w:tcMar>
          </w:tcPr>
          <w:p w14:paraId="3DD290E5" w14:textId="77777777" w:rsidR="005F4008" w:rsidRDefault="008959FE">
            <w:pPr>
              <w:spacing w:after="60"/>
              <w:jc w:val="center"/>
            </w:pPr>
            <w:proofErr w:type="gramStart"/>
            <w:r>
              <w:rPr>
                <w:b/>
                <w:bCs/>
                <w:color w:val="FFFFFF"/>
                <w:sz w:val="36"/>
                <w:szCs w:val="36"/>
              </w:rPr>
              <w:t>🟡</w:t>
            </w:r>
            <w:r>
              <w:rPr>
                <w:b/>
                <w:bCs/>
                <w:color w:val="FFFFFF"/>
                <w:sz w:val="36"/>
                <w:szCs w:val="36"/>
              </w:rPr>
              <w:t xml:space="preserve">  SECCIÓN</w:t>
            </w:r>
            <w:proofErr w:type="gramEnd"/>
            <w:r>
              <w:rPr>
                <w:b/>
                <w:bCs/>
                <w:color w:val="FFFFFF"/>
                <w:sz w:val="36"/>
                <w:szCs w:val="36"/>
              </w:rPr>
              <w:t xml:space="preserve"> 2 — MERCADOS CONDICIONADOS / VIGILANCIA</w:t>
            </w:r>
          </w:p>
          <w:p w14:paraId="520D7BDB" w14:textId="77777777" w:rsidR="005F4008" w:rsidRDefault="008959FE">
            <w:pPr>
              <w:spacing w:after="60"/>
              <w:jc w:val="center"/>
            </w:pPr>
            <w:r>
              <w:rPr>
                <w:color w:val="DDEECC"/>
                <w:sz w:val="21"/>
                <w:szCs w:val="21"/>
              </w:rPr>
              <w:t xml:space="preserve">Potencial </w:t>
            </w:r>
            <w:proofErr w:type="gramStart"/>
            <w:r>
              <w:rPr>
                <w:color w:val="DDEECC"/>
                <w:sz w:val="21"/>
                <w:szCs w:val="21"/>
              </w:rPr>
              <w:t>identificable</w:t>
            </w:r>
            <w:proofErr w:type="gramEnd"/>
            <w:r>
              <w:rPr>
                <w:color w:val="DDEECC"/>
                <w:sz w:val="21"/>
                <w:szCs w:val="21"/>
              </w:rPr>
              <w:t xml:space="preserve"> pero con barreras severas — evaluación caso por caso antes de cualquier compromiso</w:t>
            </w:r>
          </w:p>
        </w:tc>
      </w:tr>
    </w:tbl>
    <w:p w14:paraId="663D9AF3" w14:textId="77777777" w:rsidR="005F4008" w:rsidRDefault="005F4008">
      <w:pPr>
        <w:spacing w:after="60"/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3"/>
        <w:gridCol w:w="1114"/>
        <w:gridCol w:w="675"/>
        <w:gridCol w:w="771"/>
        <w:gridCol w:w="921"/>
        <w:gridCol w:w="711"/>
        <w:gridCol w:w="781"/>
        <w:gridCol w:w="3304"/>
      </w:tblGrid>
      <w:tr w:rsidR="005F4008" w14:paraId="0BFB0C47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46E54FC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País</w:t>
            </w:r>
          </w:p>
        </w:tc>
        <w:tc>
          <w:tcPr>
            <w:tcW w:w="110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7BF3949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Región</w:t>
            </w:r>
          </w:p>
        </w:tc>
        <w:tc>
          <w:tcPr>
            <w:tcW w:w="68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E059B61" w14:textId="77777777" w:rsidR="005F4008" w:rsidRDefault="008959FE">
            <w:pPr>
              <w:spacing w:after="6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Pob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826CDCD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PIB</w:t>
            </w:r>
          </w:p>
        </w:tc>
        <w:tc>
          <w:tcPr>
            <w:tcW w:w="78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3B20B29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PIB/</w:t>
            </w: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cap</w:t>
            </w:r>
            <w:proofErr w:type="spellEnd"/>
          </w:p>
        </w:tc>
        <w:tc>
          <w:tcPr>
            <w:tcW w:w="62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0630DFF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Crec.</w:t>
            </w:r>
          </w:p>
        </w:tc>
        <w:tc>
          <w:tcPr>
            <w:tcW w:w="62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31CAAE8" w14:textId="77777777" w:rsidR="005F4008" w:rsidRDefault="008959FE">
            <w:pPr>
              <w:spacing w:after="6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Inflac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366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DD553C2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Evaluación</w:t>
            </w:r>
          </w:p>
        </w:tc>
      </w:tr>
      <w:tr w:rsidR="005F4008" w14:paraId="38FB306E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912A841" w14:textId="77777777" w:rsidR="005F4008" w:rsidRDefault="008959FE">
            <w:pPr>
              <w:spacing w:after="60"/>
            </w:pPr>
            <w:r>
              <w:rPr>
                <w:b/>
                <w:bCs/>
                <w:color w:val="7A5C00"/>
                <w:sz w:val="18"/>
                <w:szCs w:val="18"/>
              </w:rPr>
              <w:t>🇨🇺</w:t>
            </w:r>
            <w:r>
              <w:rPr>
                <w:b/>
                <w:bCs/>
                <w:color w:val="7A5C00"/>
                <w:sz w:val="18"/>
                <w:szCs w:val="18"/>
              </w:rPr>
              <w:t xml:space="preserve"> CUBA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BCDA2C0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El Caribe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AE9711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11M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8A59625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ND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37DC1C9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ND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A802CA3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ND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23D435A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Alta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34DC13D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Economía planificada — sin acceso para franquicias privadas extranjeras bajo régimen actual. Datos económicos no fiables.</w:t>
            </w:r>
          </w:p>
        </w:tc>
      </w:tr>
      <w:tr w:rsidR="005F4008" w14:paraId="1150F3A5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77DBBB0" w14:textId="77777777" w:rsidR="005F4008" w:rsidRDefault="008959FE">
            <w:pPr>
              <w:spacing w:after="60"/>
            </w:pPr>
            <w:r>
              <w:rPr>
                <w:b/>
                <w:bCs/>
                <w:color w:val="7A5C00"/>
                <w:sz w:val="18"/>
                <w:szCs w:val="18"/>
              </w:rPr>
              <w:t>🇭🇹</w:t>
            </w:r>
            <w:r>
              <w:rPr>
                <w:b/>
                <w:bCs/>
                <w:color w:val="7A5C00"/>
                <w:sz w:val="18"/>
                <w:szCs w:val="18"/>
              </w:rPr>
              <w:t xml:space="preserve"> HAITÍ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D960C9A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El Caribe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06E5C98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12M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4E2F53A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$34B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1E6B33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$2,670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A77576C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-3%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F619469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30%+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D87799B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Crisis humanitaria activa — violencia de pandillas, colapso institucional, economía en contracción. No apto para inversión.</w:t>
            </w:r>
          </w:p>
        </w:tc>
      </w:tr>
      <w:tr w:rsidR="005F4008" w14:paraId="43D61FCA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99FCD97" w14:textId="77777777" w:rsidR="005F4008" w:rsidRDefault="008959FE">
            <w:pPr>
              <w:spacing w:after="60"/>
            </w:pPr>
            <w:r>
              <w:rPr>
                <w:b/>
                <w:bCs/>
                <w:color w:val="7A5C00"/>
                <w:sz w:val="18"/>
                <w:szCs w:val="18"/>
              </w:rPr>
              <w:t>🇻🇪</w:t>
            </w:r>
            <w:r>
              <w:rPr>
                <w:b/>
                <w:bCs/>
                <w:color w:val="7A5C00"/>
                <w:sz w:val="18"/>
                <w:szCs w:val="18"/>
              </w:rPr>
              <w:t xml:space="preserve"> VENEZUELA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29F1317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Sudamérica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BAC2F27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29M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7999DD2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$109B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B48530A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$3,867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0A660A1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4%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9D5CA98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100%+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9C9F559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A pesar de cierta estabilización, hiperinflación histórica, expropiaciones y control estatal hacen el ambiente inviable. Monitorear a 5+ años si hay cambio político real.</w:t>
            </w:r>
          </w:p>
        </w:tc>
      </w:tr>
      <w:tr w:rsidR="005F4008" w14:paraId="33DF92C2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88E54AA" w14:textId="77777777" w:rsidR="005F4008" w:rsidRDefault="008959FE">
            <w:pPr>
              <w:spacing w:after="60"/>
            </w:pPr>
            <w:r>
              <w:rPr>
                <w:b/>
                <w:bCs/>
                <w:color w:val="7A5C00"/>
                <w:sz w:val="18"/>
                <w:szCs w:val="18"/>
              </w:rPr>
              <w:t>🇬🇾</w:t>
            </w:r>
            <w:r>
              <w:rPr>
                <w:b/>
                <w:bCs/>
                <w:color w:val="7A5C00"/>
                <w:sz w:val="18"/>
                <w:szCs w:val="18"/>
              </w:rPr>
              <w:t xml:space="preserve"> GUYANA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752ADC9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Sudamérica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9E1E26C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800K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9B7FA04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$26B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1FF2871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$32,330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4BF71B5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28%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F7A13E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4.0%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95B6FDF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 xml:space="preserve">Crecimiento del 28% por boom petrolero — PIB per cápita en $32K y subiendo. Mercado muy pequeño (800K). Anglófono. </w:t>
            </w:r>
            <w:proofErr w:type="gramStart"/>
            <w:r>
              <w:rPr>
                <w:color w:val="1A1A1A"/>
                <w:sz w:val="16"/>
                <w:szCs w:val="16"/>
              </w:rPr>
              <w:t>Caso especial a vigilar</w:t>
            </w:r>
            <w:proofErr w:type="gramEnd"/>
            <w:r>
              <w:rPr>
                <w:color w:val="1A1A1A"/>
                <w:sz w:val="16"/>
                <w:szCs w:val="16"/>
              </w:rPr>
              <w:t xml:space="preserve"> a mediano plazo.</w:t>
            </w:r>
          </w:p>
        </w:tc>
      </w:tr>
      <w:tr w:rsidR="005F4008" w14:paraId="203703B0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30DE0AA" w14:textId="77777777" w:rsidR="005F4008" w:rsidRDefault="008959FE">
            <w:pPr>
              <w:spacing w:after="60"/>
            </w:pPr>
            <w:r>
              <w:rPr>
                <w:b/>
                <w:bCs/>
                <w:color w:val="7A5C00"/>
                <w:sz w:val="18"/>
                <w:szCs w:val="18"/>
              </w:rPr>
              <w:t>🇸🇷</w:t>
            </w:r>
            <w:r>
              <w:rPr>
                <w:b/>
                <w:bCs/>
                <w:color w:val="7A5C00"/>
                <w:sz w:val="18"/>
                <w:szCs w:val="18"/>
              </w:rPr>
              <w:t xml:space="preserve"> SURINAM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6709879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Sudamérica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8963513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630K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57EC896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$3.8B</w:t>
            </w:r>
          </w:p>
        </w:tc>
        <w:tc>
          <w:tcPr>
            <w:tcW w:w="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BE1DC2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$6,035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2C8F208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3.5%</w:t>
            </w:r>
          </w:p>
        </w:tc>
        <w:tc>
          <w:tcPr>
            <w:tcW w:w="6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1F9F999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25%</w:t>
            </w:r>
          </w:p>
        </w:tc>
        <w:tc>
          <w:tcPr>
            <w:tcW w:w="36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DE90A24" w14:textId="77777777" w:rsidR="005F4008" w:rsidRDefault="008959FE">
            <w:pPr>
              <w:spacing w:after="60"/>
            </w:pPr>
            <w:proofErr w:type="spellStart"/>
            <w:r>
              <w:rPr>
                <w:color w:val="1A1A1A"/>
                <w:sz w:val="16"/>
                <w:szCs w:val="16"/>
              </w:rPr>
              <w:t>Micro-mercado</w:t>
            </w:r>
            <w:proofErr w:type="spellEnd"/>
            <w:r>
              <w:rPr>
                <w:color w:val="1A1A1A"/>
                <w:sz w:val="16"/>
                <w:szCs w:val="16"/>
              </w:rPr>
              <w:t xml:space="preserve"> con alta inflación. Holandés como idioma oficial. Sin condiciones para franquicias en corto plazo.</w:t>
            </w:r>
          </w:p>
        </w:tc>
      </w:tr>
    </w:tbl>
    <w:p w14:paraId="79954409" w14:textId="77777777" w:rsidR="005F4008" w:rsidRDefault="005F4008">
      <w:pPr>
        <w:spacing w:after="60"/>
      </w:pPr>
    </w:p>
    <w:p w14:paraId="6E6009F3" w14:textId="77777777" w:rsidR="005F4008" w:rsidRDefault="008959FE">
      <w:r>
        <w:br w:type="page"/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0"/>
      </w:tblGrid>
      <w:tr w:rsidR="005F4008" w14:paraId="344F2D61" w14:textId="77777777">
        <w:tblPrEx>
          <w:tblCellMar>
            <w:top w:w="0" w:type="dxa"/>
            <w:bottom w:w="0" w:type="dxa"/>
          </w:tblCellMar>
        </w:tblPrEx>
        <w:tc>
          <w:tcPr>
            <w:tcW w:w="9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8B1A1A"/>
            <w:tcMar>
              <w:top w:w="200" w:type="dxa"/>
              <w:left w:w="360" w:type="dxa"/>
              <w:bottom w:w="200" w:type="dxa"/>
              <w:right w:w="360" w:type="dxa"/>
            </w:tcMar>
          </w:tcPr>
          <w:p w14:paraId="756A92B4" w14:textId="77777777" w:rsidR="005F4008" w:rsidRDefault="008959FE">
            <w:pPr>
              <w:spacing w:after="60"/>
              <w:jc w:val="center"/>
            </w:pPr>
            <w:proofErr w:type="gramStart"/>
            <w:r>
              <w:rPr>
                <w:b/>
                <w:bCs/>
                <w:color w:val="FFFFFF"/>
                <w:sz w:val="36"/>
                <w:szCs w:val="36"/>
              </w:rPr>
              <w:t>🔴</w:t>
            </w:r>
            <w:r>
              <w:rPr>
                <w:b/>
                <w:bCs/>
                <w:color w:val="FFFFFF"/>
                <w:sz w:val="36"/>
                <w:szCs w:val="36"/>
              </w:rPr>
              <w:t xml:space="preserve">  SECCIÓN</w:t>
            </w:r>
            <w:proofErr w:type="gramEnd"/>
            <w:r>
              <w:rPr>
                <w:b/>
                <w:bCs/>
                <w:color w:val="FFFFFF"/>
                <w:sz w:val="36"/>
                <w:szCs w:val="36"/>
              </w:rPr>
              <w:t xml:space="preserve"> 3 — </w:t>
            </w:r>
            <w:proofErr w:type="gramStart"/>
            <w:r>
              <w:rPr>
                <w:b/>
                <w:bCs/>
                <w:color w:val="FFFFFF"/>
                <w:sz w:val="36"/>
                <w:szCs w:val="36"/>
              </w:rPr>
              <w:t>MICRO-ESTADOS</w:t>
            </w:r>
            <w:proofErr w:type="gramEnd"/>
            <w:r>
              <w:rPr>
                <w:b/>
                <w:bCs/>
                <w:color w:val="FFFFFF"/>
                <w:sz w:val="36"/>
                <w:szCs w:val="36"/>
              </w:rPr>
              <w:t xml:space="preserve"> Y MERCADOS SIN VIABILIDAD</w:t>
            </w:r>
          </w:p>
          <w:p w14:paraId="148B0518" w14:textId="77777777" w:rsidR="005F4008" w:rsidRDefault="008959FE">
            <w:pPr>
              <w:spacing w:after="60"/>
              <w:jc w:val="center"/>
            </w:pPr>
            <w:r>
              <w:rPr>
                <w:color w:val="DDEECC"/>
                <w:sz w:val="21"/>
                <w:szCs w:val="21"/>
              </w:rPr>
              <w:t>Islas del Caribe y territorios sin escala de mercado suficiente para un modelo de franquicia estándar</w:t>
            </w:r>
          </w:p>
        </w:tc>
      </w:tr>
    </w:tbl>
    <w:p w14:paraId="5C8CBCE6" w14:textId="77777777" w:rsidR="005F4008" w:rsidRDefault="005F4008">
      <w:pPr>
        <w:spacing w:after="60"/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1"/>
        <w:gridCol w:w="1091"/>
        <w:gridCol w:w="698"/>
        <w:gridCol w:w="921"/>
        <w:gridCol w:w="711"/>
        <w:gridCol w:w="781"/>
        <w:gridCol w:w="4147"/>
      </w:tblGrid>
      <w:tr w:rsidR="005F4008" w14:paraId="3C2FCCDB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E37BB84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País</w:t>
            </w:r>
          </w:p>
        </w:tc>
        <w:tc>
          <w:tcPr>
            <w:tcW w:w="110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B21895F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Región</w:t>
            </w:r>
          </w:p>
        </w:tc>
        <w:tc>
          <w:tcPr>
            <w:tcW w:w="70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09FFA39" w14:textId="77777777" w:rsidR="005F4008" w:rsidRDefault="008959FE">
            <w:pPr>
              <w:spacing w:after="6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Pob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44F2817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PIB/</w:t>
            </w: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cap</w:t>
            </w:r>
            <w:proofErr w:type="spellEnd"/>
          </w:p>
        </w:tc>
        <w:tc>
          <w:tcPr>
            <w:tcW w:w="68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BC1A37D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Crec.</w:t>
            </w:r>
          </w:p>
        </w:tc>
        <w:tc>
          <w:tcPr>
            <w:tcW w:w="70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EA9E7E5" w14:textId="77777777" w:rsidR="005F4008" w:rsidRDefault="008959FE">
            <w:pPr>
              <w:spacing w:after="60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Inflac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4260" w:type="dxa"/>
            <w:tcBorders>
              <w:top w:val="single" w:sz="1" w:space="0" w:color="C0392B"/>
              <w:left w:val="single" w:sz="1" w:space="0" w:color="C0392B"/>
              <w:bottom w:val="single" w:sz="1" w:space="0" w:color="C0392B"/>
              <w:right w:val="single" w:sz="1" w:space="0" w:color="C0392B"/>
            </w:tcBorders>
            <w:shd w:val="clear" w:color="auto" w:fill="C0392B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7323533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Razón de exclusión</w:t>
            </w:r>
          </w:p>
        </w:tc>
      </w:tr>
      <w:tr w:rsidR="005F4008" w14:paraId="1C8BE206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0D2B38B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🇧🇸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BAHAMAS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E3EA7FF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4BFCCE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400K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D25CADD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$37,500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DE4322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2.5%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666343A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3.0%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9EE785B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 xml:space="preserve">PIB per cápita altísimo por </w:t>
            </w:r>
            <w:proofErr w:type="gramStart"/>
            <w:r>
              <w:rPr>
                <w:color w:val="1A1A1A"/>
                <w:sz w:val="16"/>
                <w:szCs w:val="16"/>
              </w:rPr>
              <w:t>turismo</w:t>
            </w:r>
            <w:proofErr w:type="gramEnd"/>
            <w:r>
              <w:rPr>
                <w:color w:val="1A1A1A"/>
                <w:sz w:val="16"/>
                <w:szCs w:val="16"/>
              </w:rPr>
              <w:t xml:space="preserve"> pero </w:t>
            </w:r>
            <w:proofErr w:type="spellStart"/>
            <w:r>
              <w:rPr>
                <w:color w:val="1A1A1A"/>
                <w:sz w:val="16"/>
                <w:szCs w:val="16"/>
              </w:rPr>
              <w:t>micro-mercado</w:t>
            </w:r>
            <w:proofErr w:type="spellEnd"/>
            <w:r>
              <w:rPr>
                <w:color w:val="1A1A1A"/>
                <w:sz w:val="16"/>
                <w:szCs w:val="16"/>
              </w:rPr>
              <w:t xml:space="preserve"> (400K). Sin escala para franquicia estándar.</w:t>
            </w:r>
          </w:p>
        </w:tc>
      </w:tr>
      <w:tr w:rsidR="005F4008" w14:paraId="1356786D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D6AC50A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🇧🇧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BARBADOS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415E7B3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7669A6B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290K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63EACEC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$24,800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D7CC076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4.5%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5F049D4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3.5%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E4D377D" w14:textId="77777777" w:rsidR="005F4008" w:rsidRDefault="008959FE">
            <w:pPr>
              <w:spacing w:after="60"/>
            </w:pPr>
            <w:proofErr w:type="spellStart"/>
            <w:proofErr w:type="gramStart"/>
            <w:r>
              <w:rPr>
                <w:color w:val="1A1A1A"/>
                <w:sz w:val="16"/>
                <w:szCs w:val="16"/>
              </w:rPr>
              <w:t>Micro-estado</w:t>
            </w:r>
            <w:proofErr w:type="spellEnd"/>
            <w:proofErr w:type="gramEnd"/>
            <w:r>
              <w:rPr>
                <w:color w:val="1A1A1A"/>
                <w:sz w:val="16"/>
                <w:szCs w:val="16"/>
              </w:rPr>
              <w:t xml:space="preserve"> turístico premium. Sin escala.</w:t>
            </w:r>
          </w:p>
        </w:tc>
      </w:tr>
      <w:tr w:rsidR="005F4008" w14:paraId="0C724BF3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756A20B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🇯🇲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JAMAICA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19385E4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3846C73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3M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A412B7B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$6,670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12DCDE6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2.0%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540BD94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5.5%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FB5CC7A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 xml:space="preserve">Anglófono. KFC y McDonald's establecidos. Posible nicho en zonas </w:t>
            </w:r>
            <w:proofErr w:type="gramStart"/>
            <w:r>
              <w:rPr>
                <w:color w:val="1A1A1A"/>
                <w:sz w:val="16"/>
                <w:szCs w:val="16"/>
              </w:rPr>
              <w:t>turísticas</w:t>
            </w:r>
            <w:proofErr w:type="gramEnd"/>
            <w:r>
              <w:rPr>
                <w:color w:val="1A1A1A"/>
                <w:sz w:val="16"/>
                <w:szCs w:val="16"/>
              </w:rPr>
              <w:t xml:space="preserve"> pero mercado pequeño.</w:t>
            </w:r>
          </w:p>
        </w:tc>
      </w:tr>
      <w:tr w:rsidR="005F4008" w14:paraId="3C5F7EE2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7D864C6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🇹🇹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TRINIDAD Y TOBAGO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39EBBF2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B9D1FB5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1.5M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5D65911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$18,440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B23B3BE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2.5%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3B386AC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5.0%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94237B2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Alto PIB per cápita por petróleo. Mercado pequeño pero sofisticado. Anglófono.</w:t>
            </w:r>
          </w:p>
        </w:tc>
      </w:tr>
      <w:tr w:rsidR="005F4008" w14:paraId="39CC0D85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6936810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🇱🇨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SANTA LUCÍA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00BFDFC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71B9405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180K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80A7E19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$13,900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5946FB4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5.0%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A8E3883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3.0%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D1AD78C" w14:textId="77777777" w:rsidR="005F4008" w:rsidRDefault="008959FE">
            <w:pPr>
              <w:spacing w:after="60"/>
            </w:pPr>
            <w:proofErr w:type="spellStart"/>
            <w:proofErr w:type="gramStart"/>
            <w:r>
              <w:rPr>
                <w:color w:val="1A1A1A"/>
                <w:sz w:val="16"/>
                <w:szCs w:val="16"/>
              </w:rPr>
              <w:t>Micro-estado</w:t>
            </w:r>
            <w:proofErr w:type="spellEnd"/>
            <w:proofErr w:type="gramEnd"/>
            <w:r>
              <w:rPr>
                <w:color w:val="1A1A1A"/>
                <w:sz w:val="16"/>
                <w:szCs w:val="16"/>
              </w:rPr>
              <w:t>. Turismo europeo. Sin escala para franquicia.</w:t>
            </w:r>
          </w:p>
        </w:tc>
      </w:tr>
      <w:tr w:rsidR="005F4008" w14:paraId="07437C76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42F844D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🇻🇨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SAN VICENTE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DF367C6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DE0DCB0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110K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67F29E6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$10,900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7772DDB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3.5%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226E11B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3.5%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896ABA4" w14:textId="77777777" w:rsidR="005F4008" w:rsidRDefault="008959FE">
            <w:pPr>
              <w:spacing w:after="60"/>
            </w:pPr>
            <w:proofErr w:type="spellStart"/>
            <w:proofErr w:type="gramStart"/>
            <w:r>
              <w:rPr>
                <w:color w:val="1A1A1A"/>
                <w:sz w:val="16"/>
                <w:szCs w:val="16"/>
              </w:rPr>
              <w:t>Micro-estado</w:t>
            </w:r>
            <w:proofErr w:type="spellEnd"/>
            <w:proofErr w:type="gramEnd"/>
            <w:r>
              <w:rPr>
                <w:color w:val="1A1A1A"/>
                <w:sz w:val="16"/>
                <w:szCs w:val="16"/>
              </w:rPr>
              <w:t>. Sin mercado de consumo relevante.</w:t>
            </w:r>
          </w:p>
        </w:tc>
      </w:tr>
      <w:tr w:rsidR="005F4008" w14:paraId="76DECF53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30A7217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🇦🇬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ANTIGUA Y BARBUDA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2C7B12E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1E4D680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100K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305CD77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$22,000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0A7F3F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6.0%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6484619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2.5%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DB5E9FF" w14:textId="77777777" w:rsidR="005F4008" w:rsidRDefault="008959FE">
            <w:pPr>
              <w:spacing w:after="60"/>
            </w:pPr>
            <w:proofErr w:type="spellStart"/>
            <w:proofErr w:type="gramStart"/>
            <w:r>
              <w:rPr>
                <w:color w:val="1A1A1A"/>
                <w:sz w:val="16"/>
                <w:szCs w:val="16"/>
              </w:rPr>
              <w:t>Micro-estado</w:t>
            </w:r>
            <w:proofErr w:type="spellEnd"/>
            <w:proofErr w:type="gramEnd"/>
            <w:r>
              <w:rPr>
                <w:color w:val="1A1A1A"/>
                <w:sz w:val="16"/>
                <w:szCs w:val="16"/>
              </w:rPr>
              <w:t xml:space="preserve"> de alta renta por turismo. Sin escala.</w:t>
            </w:r>
          </w:p>
        </w:tc>
      </w:tr>
      <w:tr w:rsidR="005F4008" w14:paraId="55E3C195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CC48E60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🇬🇩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GRANADA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B96D003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3B70CCE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125K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07335A6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$11,200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EDDC99D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5.5%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D8C8198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3.0%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254AFAA" w14:textId="77777777" w:rsidR="005F4008" w:rsidRDefault="008959FE">
            <w:pPr>
              <w:spacing w:after="60"/>
            </w:pPr>
            <w:proofErr w:type="spellStart"/>
            <w:proofErr w:type="gramStart"/>
            <w:r>
              <w:rPr>
                <w:color w:val="1A1A1A"/>
                <w:sz w:val="16"/>
                <w:szCs w:val="16"/>
              </w:rPr>
              <w:t>Micro-estado</w:t>
            </w:r>
            <w:proofErr w:type="spellEnd"/>
            <w:proofErr w:type="gramEnd"/>
            <w:r>
              <w:rPr>
                <w:color w:val="1A1A1A"/>
                <w:sz w:val="16"/>
                <w:szCs w:val="16"/>
              </w:rPr>
              <w:t>. Turismo. Sin escala.</w:t>
            </w:r>
          </w:p>
        </w:tc>
      </w:tr>
      <w:tr w:rsidR="005F4008" w14:paraId="6F29C2CB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D864D25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🇩🇲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DOMINICA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44A3A04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EA0806B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72K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E6B8854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$9,700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E59B0F2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4.0%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1E5F0C1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3.0%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D5208D6" w14:textId="77777777" w:rsidR="005F4008" w:rsidRDefault="008959FE">
            <w:pPr>
              <w:spacing w:after="60"/>
            </w:pPr>
            <w:proofErr w:type="spellStart"/>
            <w:proofErr w:type="gramStart"/>
            <w:r>
              <w:rPr>
                <w:color w:val="1A1A1A"/>
                <w:sz w:val="16"/>
                <w:szCs w:val="16"/>
              </w:rPr>
              <w:t>Micro-estado</w:t>
            </w:r>
            <w:proofErr w:type="spellEnd"/>
            <w:proofErr w:type="gramEnd"/>
            <w:r>
              <w:rPr>
                <w:color w:val="1A1A1A"/>
                <w:sz w:val="16"/>
                <w:szCs w:val="16"/>
              </w:rPr>
              <w:t xml:space="preserve"> de naturaleza. Sin mercado.</w:t>
            </w:r>
          </w:p>
        </w:tc>
      </w:tr>
      <w:tr w:rsidR="005F4008" w14:paraId="608BFABA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022E9C5" w14:textId="77777777" w:rsidR="005F4008" w:rsidRDefault="008959FE">
            <w:pPr>
              <w:spacing w:after="60"/>
            </w:pPr>
            <w:r>
              <w:rPr>
                <w:b/>
                <w:bCs/>
                <w:color w:val="8B1A1A"/>
                <w:sz w:val="17"/>
                <w:szCs w:val="17"/>
              </w:rPr>
              <w:t>🇰🇳</w:t>
            </w:r>
            <w:r>
              <w:rPr>
                <w:b/>
                <w:bCs/>
                <w:color w:val="8B1A1A"/>
                <w:sz w:val="17"/>
                <w:szCs w:val="17"/>
              </w:rPr>
              <w:t xml:space="preserve"> SAN CRISTÓBAL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66F0681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Caribe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C5957D5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53K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A8B5F77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$20,750</w:t>
            </w:r>
          </w:p>
        </w:tc>
        <w:tc>
          <w:tcPr>
            <w:tcW w:w="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FDA574F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4.5%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6544DF1" w14:textId="77777777" w:rsidR="005F4008" w:rsidRDefault="008959FE">
            <w:pPr>
              <w:spacing w:after="60"/>
              <w:jc w:val="center"/>
            </w:pPr>
            <w:r>
              <w:rPr>
                <w:color w:val="1A1A1A"/>
                <w:sz w:val="16"/>
                <w:szCs w:val="16"/>
              </w:rPr>
              <w:t>2.5%</w:t>
            </w:r>
          </w:p>
        </w:tc>
        <w:tc>
          <w:tcPr>
            <w:tcW w:w="42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B3EBAAA" w14:textId="77777777" w:rsidR="005F4008" w:rsidRDefault="008959FE">
            <w:pPr>
              <w:spacing w:after="60"/>
            </w:pPr>
            <w:r>
              <w:rPr>
                <w:color w:val="1A1A1A"/>
                <w:sz w:val="16"/>
                <w:szCs w:val="16"/>
              </w:rPr>
              <w:t>La nación más pequeña del hemisferio. Sin escala posible.</w:t>
            </w:r>
          </w:p>
        </w:tc>
      </w:tr>
    </w:tbl>
    <w:p w14:paraId="751E8BDB" w14:textId="77777777" w:rsidR="005F4008" w:rsidRDefault="005F4008">
      <w:pPr>
        <w:spacing w:after="60"/>
      </w:pPr>
    </w:p>
    <w:p w14:paraId="2FE84C0B" w14:textId="77777777" w:rsidR="005F4008" w:rsidRDefault="008959FE">
      <w:r>
        <w:br w:type="page"/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0"/>
      </w:tblGrid>
      <w:tr w:rsidR="005F4008" w14:paraId="6404DDDE" w14:textId="77777777">
        <w:tblPrEx>
          <w:tblCellMar>
            <w:top w:w="0" w:type="dxa"/>
            <w:bottom w:w="0" w:type="dxa"/>
          </w:tblCellMar>
        </w:tblPrEx>
        <w:tc>
          <w:tcPr>
            <w:tcW w:w="9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5C38"/>
            <w:tcMar>
              <w:top w:w="180" w:type="dxa"/>
              <w:left w:w="360" w:type="dxa"/>
              <w:bottom w:w="180" w:type="dxa"/>
              <w:right w:w="360" w:type="dxa"/>
            </w:tcMar>
          </w:tcPr>
          <w:p w14:paraId="7DBA02A8" w14:textId="77777777" w:rsidR="005F4008" w:rsidRDefault="008959FE">
            <w:pPr>
              <w:spacing w:after="6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RESUMEN EJECUTIVO — LATAM</w:t>
            </w:r>
          </w:p>
        </w:tc>
      </w:tr>
    </w:tbl>
    <w:p w14:paraId="29C06AC9" w14:textId="77777777" w:rsidR="005F4008" w:rsidRDefault="005F4008">
      <w:pPr>
        <w:spacing w:after="60"/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</w:tblGrid>
      <w:tr w:rsidR="005F4008" w14:paraId="56050F9C" w14:textId="77777777">
        <w:tblPrEx>
          <w:tblCellMar>
            <w:top w:w="0" w:type="dxa"/>
            <w:bottom w:w="0" w:type="dxa"/>
          </w:tblCellMar>
        </w:tblPrEx>
        <w:tc>
          <w:tcPr>
            <w:tcW w:w="2460" w:type="dxa"/>
            <w:tcBorders>
              <w:top w:val="single" w:sz="1" w:space="0" w:color="1A5C38"/>
              <w:left w:val="single" w:sz="1" w:space="0" w:color="1A5C38"/>
              <w:bottom w:val="single" w:sz="1" w:space="0" w:color="1A5C38"/>
              <w:right w:val="single" w:sz="1" w:space="0" w:color="1A5C38"/>
            </w:tcBorders>
            <w:shd w:val="clear" w:color="auto" w:fill="1A5C3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5CD7264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🚀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Entrada Inmediata</w:t>
            </w:r>
          </w:p>
        </w:tc>
        <w:tc>
          <w:tcPr>
            <w:tcW w:w="2460" w:type="dxa"/>
            <w:tcBorders>
              <w:top w:val="single" w:sz="1" w:space="0" w:color="2E7D52"/>
              <w:left w:val="single" w:sz="1" w:space="0" w:color="2E7D52"/>
              <w:bottom w:val="single" w:sz="1" w:space="0" w:color="2E7D52"/>
              <w:right w:val="single" w:sz="1" w:space="0" w:color="2E7D52"/>
            </w:tcBorders>
            <w:shd w:val="clear" w:color="auto" w:fill="2E7D52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5AA4A35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📈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Entrada Recomendada</w:t>
            </w:r>
          </w:p>
        </w:tc>
        <w:tc>
          <w:tcPr>
            <w:tcW w:w="2460" w:type="dxa"/>
            <w:tcBorders>
              <w:top w:val="single" w:sz="1" w:space="0" w:color="D4A017"/>
              <w:left w:val="single" w:sz="1" w:space="0" w:color="D4A017"/>
              <w:bottom w:val="single" w:sz="1" w:space="0" w:color="D4A017"/>
              <w:right w:val="single" w:sz="1" w:space="0" w:color="D4A017"/>
            </w:tcBorders>
            <w:shd w:val="clear" w:color="auto" w:fill="D4A01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0EDB1F7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🔭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Mediano Plazo</w:t>
            </w:r>
          </w:p>
        </w:tc>
        <w:tc>
          <w:tcPr>
            <w:tcW w:w="2460" w:type="dxa"/>
            <w:tcBorders>
              <w:top w:val="single" w:sz="1" w:space="0" w:color="8B1A1A"/>
              <w:left w:val="single" w:sz="1" w:space="0" w:color="8B1A1A"/>
              <w:bottom w:val="single" w:sz="1" w:space="0" w:color="8B1A1A"/>
              <w:right w:val="single" w:sz="1" w:space="0" w:color="8B1A1A"/>
            </w:tcBorders>
            <w:shd w:val="clear" w:color="auto" w:fill="8B1A1A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9D11AFC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⛔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Descartar por ahora</w:t>
            </w:r>
          </w:p>
        </w:tc>
      </w:tr>
      <w:tr w:rsidR="005F4008" w14:paraId="28D4B061" w14:textId="77777777">
        <w:tblPrEx>
          <w:tblCellMar>
            <w:top w:w="0" w:type="dxa"/>
            <w:bottom w:w="0" w:type="dxa"/>
          </w:tblCellMar>
        </w:tblPrEx>
        <w:tc>
          <w:tcPr>
            <w:tcW w:w="2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B34BA40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Brasil · Colombia Chile · Perú</w:t>
            </w:r>
          </w:p>
        </w:tc>
        <w:tc>
          <w:tcPr>
            <w:tcW w:w="2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0D9F647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 xml:space="preserve">Guatemala · Panamá Rep. Dominicana </w:t>
            </w:r>
            <w:r>
              <w:rPr>
                <w:color w:val="1A1A1A"/>
                <w:sz w:val="18"/>
                <w:szCs w:val="18"/>
              </w:rPr>
              <w:t>Argentina* · Costa Rica · Uruguay</w:t>
            </w:r>
          </w:p>
        </w:tc>
        <w:tc>
          <w:tcPr>
            <w:tcW w:w="2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BE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4C9D124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Paraguay · El Salvador Bolivia · Honduras Ecuador</w:t>
            </w:r>
          </w:p>
        </w:tc>
        <w:tc>
          <w:tcPr>
            <w:tcW w:w="2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D6939A1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 xml:space="preserve">Cuba · Haití Venezuela </w:t>
            </w:r>
            <w:proofErr w:type="spellStart"/>
            <w:proofErr w:type="gramStart"/>
            <w:r>
              <w:rPr>
                <w:color w:val="1A1A1A"/>
                <w:sz w:val="18"/>
                <w:szCs w:val="18"/>
              </w:rPr>
              <w:t>Micro-estados</w:t>
            </w:r>
            <w:proofErr w:type="spellEnd"/>
            <w:proofErr w:type="gramEnd"/>
            <w:r>
              <w:rPr>
                <w:color w:val="1A1A1A"/>
                <w:sz w:val="18"/>
                <w:szCs w:val="18"/>
              </w:rPr>
              <w:t xml:space="preserve"> Caribe</w:t>
            </w:r>
          </w:p>
        </w:tc>
      </w:tr>
    </w:tbl>
    <w:p w14:paraId="027F3962" w14:textId="77777777" w:rsidR="005F4008" w:rsidRDefault="008959FE">
      <w:pPr>
        <w:spacing w:after="60"/>
      </w:pPr>
      <w:r>
        <w:rPr>
          <w:color w:val="888888"/>
          <w:sz w:val="17"/>
          <w:szCs w:val="17"/>
        </w:rPr>
        <w:t>* Argentina: estructurar contratos en USD sin excepción.</w:t>
      </w:r>
    </w:p>
    <w:p w14:paraId="65C9044B" w14:textId="77777777" w:rsidR="005F4008" w:rsidRDefault="005F4008">
      <w:pPr>
        <w:spacing w:after="60"/>
      </w:pPr>
    </w:p>
    <w:p w14:paraId="6BB6AB14" w14:textId="77777777" w:rsidR="005F4008" w:rsidRDefault="008959FE">
      <w:pPr>
        <w:spacing w:after="60"/>
      </w:pPr>
      <w:r>
        <w:rPr>
          <w:b/>
          <w:bCs/>
          <w:color w:val="1A5C38"/>
          <w:sz w:val="24"/>
          <w:szCs w:val="24"/>
        </w:rPr>
        <w:t>Secuencia de expansión recomendada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3000"/>
        <w:gridCol w:w="5740"/>
      </w:tblGrid>
      <w:tr w:rsidR="005F4008" w14:paraId="02DD1E79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1" w:space="0" w:color="1A5C38"/>
              <w:left w:val="single" w:sz="1" w:space="0" w:color="1A5C38"/>
              <w:bottom w:val="single" w:sz="1" w:space="0" w:color="1A5C38"/>
              <w:right w:val="single" w:sz="1" w:space="0" w:color="1A5C38"/>
            </w:tcBorders>
            <w:shd w:val="clear" w:color="auto" w:fill="1A5C3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9CE1C72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Fase</w:t>
            </w:r>
          </w:p>
        </w:tc>
        <w:tc>
          <w:tcPr>
            <w:tcW w:w="3000" w:type="dxa"/>
            <w:tcBorders>
              <w:top w:val="single" w:sz="1" w:space="0" w:color="1A5C38"/>
              <w:left w:val="single" w:sz="1" w:space="0" w:color="1A5C38"/>
              <w:bottom w:val="single" w:sz="1" w:space="0" w:color="1A5C38"/>
              <w:right w:val="single" w:sz="1" w:space="0" w:color="1A5C38"/>
            </w:tcBorders>
            <w:shd w:val="clear" w:color="auto" w:fill="1A5C3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32616C2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Países objetivo</w:t>
            </w:r>
          </w:p>
        </w:tc>
        <w:tc>
          <w:tcPr>
            <w:tcW w:w="5740" w:type="dxa"/>
            <w:tcBorders>
              <w:top w:val="single" w:sz="1" w:space="0" w:color="1A5C38"/>
              <w:left w:val="single" w:sz="1" w:space="0" w:color="1A5C38"/>
              <w:bottom w:val="single" w:sz="1" w:space="0" w:color="1A5C38"/>
              <w:right w:val="single" w:sz="1" w:space="0" w:color="1A5C38"/>
            </w:tcBorders>
            <w:shd w:val="clear" w:color="auto" w:fill="1A5C3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743E60B" w14:textId="77777777" w:rsidR="005F4008" w:rsidRDefault="008959FE">
            <w:pPr>
              <w:spacing w:after="60"/>
            </w:pPr>
            <w:r>
              <w:rPr>
                <w:b/>
                <w:bCs/>
                <w:color w:val="FFFFFF"/>
                <w:sz w:val="18"/>
                <w:szCs w:val="18"/>
              </w:rPr>
              <w:t>Estrategia sugerida</w:t>
            </w:r>
          </w:p>
        </w:tc>
      </w:tr>
      <w:tr w:rsidR="005F4008" w14:paraId="635A20B2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7E6BFC7" w14:textId="77777777" w:rsidR="005F4008" w:rsidRDefault="008959FE">
            <w:pPr>
              <w:spacing w:after="60"/>
            </w:pPr>
            <w:r>
              <w:rPr>
                <w:b/>
                <w:bCs/>
                <w:color w:val="1A5C38"/>
                <w:sz w:val="18"/>
                <w:szCs w:val="18"/>
              </w:rPr>
              <w:t>Fase 1 0-18m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A581B7F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Colombia + Chile</w:t>
            </w:r>
          </w:p>
        </w:tc>
        <w:tc>
          <w:tcPr>
            <w:tcW w:w="57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123BEC3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Colombia: entrada directa por máxima afinidad cultural. Chile: mercado premium predecible. Ambos en español puro — sin adaptación de comunicación.</w:t>
            </w:r>
          </w:p>
        </w:tc>
      </w:tr>
      <w:tr w:rsidR="005F4008" w14:paraId="7ECA7B3B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3A52F0C" w14:textId="77777777" w:rsidR="005F4008" w:rsidRDefault="008959FE">
            <w:pPr>
              <w:spacing w:after="60"/>
            </w:pPr>
            <w:r>
              <w:rPr>
                <w:b/>
                <w:bCs/>
                <w:color w:val="1A5C38"/>
                <w:sz w:val="18"/>
                <w:szCs w:val="18"/>
              </w:rPr>
              <w:t>Fase 2 18-36m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30AA5CB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Brasil + Perú</w:t>
            </w:r>
          </w:p>
        </w:tc>
        <w:tc>
          <w:tcPr>
            <w:tcW w:w="57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A872CB3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 xml:space="preserve">Brasil: </w:t>
            </w:r>
            <w:proofErr w:type="gramStart"/>
            <w:r>
              <w:rPr>
                <w:color w:val="1A1A1A"/>
                <w:sz w:val="18"/>
                <w:szCs w:val="18"/>
              </w:rPr>
              <w:t>master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1A1A1A"/>
                <w:sz w:val="18"/>
                <w:szCs w:val="18"/>
              </w:rPr>
              <w:t>franchise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con ABF-</w:t>
            </w:r>
            <w:proofErr w:type="spellStart"/>
            <w:r>
              <w:rPr>
                <w:color w:val="1A1A1A"/>
                <w:sz w:val="18"/>
                <w:szCs w:val="18"/>
              </w:rPr>
              <w:t>member</w:t>
            </w:r>
            <w:proofErr w:type="spellEnd"/>
            <w:r>
              <w:rPr>
                <w:color w:val="1A1A1A"/>
                <w:sz w:val="18"/>
                <w:szCs w:val="18"/>
              </w:rPr>
              <w:t xml:space="preserve"> + versión en portugués. Perú: Lima como capital gastronómica — entrada natural y receptiva.</w:t>
            </w:r>
          </w:p>
        </w:tc>
      </w:tr>
      <w:tr w:rsidR="005F4008" w14:paraId="321F901D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8E68D15" w14:textId="77777777" w:rsidR="005F4008" w:rsidRDefault="008959FE">
            <w:pPr>
              <w:spacing w:after="60"/>
            </w:pPr>
            <w:r>
              <w:rPr>
                <w:b/>
                <w:bCs/>
                <w:color w:val="1A5C38"/>
                <w:sz w:val="18"/>
                <w:szCs w:val="18"/>
              </w:rPr>
              <w:t>Fase 3 36-60m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FBF21D6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Guatemala + Panamá + Rep. Dominicana + Costa Rica</w:t>
            </w:r>
          </w:p>
        </w:tc>
        <w:tc>
          <w:tcPr>
            <w:tcW w:w="57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E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2820C52" w14:textId="77777777" w:rsidR="005F4008" w:rsidRDefault="008959FE">
            <w:pPr>
              <w:spacing w:after="60"/>
            </w:pPr>
            <w:proofErr w:type="gramStart"/>
            <w:r>
              <w:rPr>
                <w:color w:val="1A1A1A"/>
                <w:sz w:val="18"/>
                <w:szCs w:val="18"/>
              </w:rPr>
              <w:t>Hub</w:t>
            </w:r>
            <w:proofErr w:type="gramEnd"/>
            <w:r>
              <w:rPr>
                <w:color w:val="1A1A1A"/>
                <w:sz w:val="18"/>
                <w:szCs w:val="18"/>
              </w:rPr>
              <w:t xml:space="preserve"> centroamericano desde Guatemala. Panamá como plataforma logística. RD por turismo masivo.</w:t>
            </w:r>
          </w:p>
        </w:tc>
      </w:tr>
      <w:tr w:rsidR="005F4008" w14:paraId="47413D30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FE878B4" w14:textId="77777777" w:rsidR="005F4008" w:rsidRDefault="008959FE">
            <w:pPr>
              <w:spacing w:after="60"/>
            </w:pPr>
            <w:r>
              <w:rPr>
                <w:b/>
                <w:bCs/>
                <w:color w:val="1A5C38"/>
                <w:sz w:val="18"/>
                <w:szCs w:val="18"/>
              </w:rPr>
              <w:t>Fase 4 60+m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46B9F3C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>Argentina + Uruguay + Paraguay + El Salvador</w:t>
            </w:r>
          </w:p>
        </w:tc>
        <w:tc>
          <w:tcPr>
            <w:tcW w:w="57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FC86E6D" w14:textId="77777777" w:rsidR="005F4008" w:rsidRDefault="008959FE">
            <w:pPr>
              <w:spacing w:after="60"/>
            </w:pPr>
            <w:r>
              <w:rPr>
                <w:color w:val="1A1A1A"/>
                <w:sz w:val="18"/>
                <w:szCs w:val="18"/>
              </w:rPr>
              <w:t xml:space="preserve">Argentina con esquema USD. Uruguay como </w:t>
            </w:r>
            <w:proofErr w:type="spellStart"/>
            <w:proofErr w:type="gramStart"/>
            <w:r>
              <w:rPr>
                <w:color w:val="1A1A1A"/>
                <w:sz w:val="18"/>
                <w:szCs w:val="18"/>
              </w:rPr>
              <w:t>hub</w:t>
            </w:r>
            <w:proofErr w:type="spellEnd"/>
            <w:proofErr w:type="gramEnd"/>
            <w:r>
              <w:rPr>
                <w:color w:val="1A1A1A"/>
                <w:sz w:val="18"/>
                <w:szCs w:val="18"/>
              </w:rPr>
              <w:t xml:space="preserve"> Mercosur. El Salvador por dolarización y remesas.</w:t>
            </w:r>
          </w:p>
        </w:tc>
      </w:tr>
    </w:tbl>
    <w:p w14:paraId="2CD5425D" w14:textId="77777777" w:rsidR="005F4008" w:rsidRDefault="005F4008">
      <w:pPr>
        <w:spacing w:after="60"/>
      </w:pPr>
    </w:p>
    <w:p w14:paraId="0C5FC128" w14:textId="77777777" w:rsidR="005F4008" w:rsidRDefault="008959FE">
      <w:pPr>
        <w:spacing w:after="60"/>
      </w:pPr>
      <w:r>
        <w:rPr>
          <w:color w:val="888888"/>
          <w:sz w:val="16"/>
          <w:szCs w:val="16"/>
        </w:rPr>
        <w:t xml:space="preserve">Fuentes: FMI WEO </w:t>
      </w:r>
      <w:proofErr w:type="gramStart"/>
      <w:r>
        <w:rPr>
          <w:color w:val="888888"/>
          <w:sz w:val="16"/>
          <w:szCs w:val="16"/>
        </w:rPr>
        <w:t>Abril</w:t>
      </w:r>
      <w:proofErr w:type="gramEnd"/>
      <w:r>
        <w:rPr>
          <w:color w:val="888888"/>
          <w:sz w:val="16"/>
          <w:szCs w:val="16"/>
        </w:rPr>
        <w:t xml:space="preserve"> 2026 · Banco Mundial · Goldman Sachs · J.P. Morgan </w:t>
      </w:r>
      <w:proofErr w:type="spellStart"/>
      <w:r>
        <w:rPr>
          <w:color w:val="888888"/>
          <w:sz w:val="16"/>
          <w:szCs w:val="16"/>
        </w:rPr>
        <w:t>Latin</w:t>
      </w:r>
      <w:proofErr w:type="spellEnd"/>
      <w:r>
        <w:rPr>
          <w:color w:val="888888"/>
          <w:sz w:val="16"/>
          <w:szCs w:val="16"/>
        </w:rPr>
        <w:t xml:space="preserve"> America Outlook 2026 · ABF · AMF · Mordor </w:t>
      </w:r>
      <w:proofErr w:type="spellStart"/>
      <w:r>
        <w:rPr>
          <w:color w:val="888888"/>
          <w:sz w:val="16"/>
          <w:szCs w:val="16"/>
        </w:rPr>
        <w:t>Intelligence</w:t>
      </w:r>
      <w:proofErr w:type="spellEnd"/>
      <w:r>
        <w:rPr>
          <w:color w:val="888888"/>
          <w:sz w:val="16"/>
          <w:szCs w:val="16"/>
        </w:rPr>
        <w:t xml:space="preserve"> · Kearney FDI </w:t>
      </w:r>
      <w:proofErr w:type="spellStart"/>
      <w:r>
        <w:rPr>
          <w:color w:val="888888"/>
          <w:sz w:val="16"/>
          <w:szCs w:val="16"/>
        </w:rPr>
        <w:t>Index</w:t>
      </w:r>
      <w:proofErr w:type="spellEnd"/>
      <w:r>
        <w:rPr>
          <w:color w:val="888888"/>
          <w:sz w:val="16"/>
          <w:szCs w:val="16"/>
        </w:rPr>
        <w:t xml:space="preserve"> 2025</w:t>
      </w:r>
    </w:p>
    <w:sectPr w:rsidR="005F4008">
      <w:headerReference w:type="default" r:id="rId7"/>
      <w:footerReference w:type="default" r:id="rId8"/>
      <w:pgSz w:w="12240" w:h="15840"/>
      <w:pgMar w:top="900" w:right="900" w:bottom="9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8772" w14:textId="77777777" w:rsidR="008959FE" w:rsidRDefault="008959FE">
      <w:r>
        <w:separator/>
      </w:r>
    </w:p>
  </w:endnote>
  <w:endnote w:type="continuationSeparator" w:id="0">
    <w:p w14:paraId="28954434" w14:textId="77777777" w:rsidR="008959FE" w:rsidRDefault="0089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17060" w14:textId="77777777" w:rsidR="005F4008" w:rsidRDefault="008959FE">
    <w:pPr>
      <w:pBdr>
        <w:top w:val="single" w:sz="4" w:space="0" w:color="1A5C38"/>
      </w:pBdr>
      <w:spacing w:before="80"/>
    </w:pPr>
    <w:r>
      <w:rPr>
        <w:color w:val="888888"/>
        <w:sz w:val="15"/>
        <w:szCs w:val="15"/>
      </w:rPr>
      <w:t xml:space="preserve">Fuentes: FMI · Banco Mundial · Goldman Sachs · J.P. Morgan · IFA · ADB · Mordor </w:t>
    </w:r>
    <w:proofErr w:type="spellStart"/>
    <w:r>
      <w:rPr>
        <w:color w:val="888888"/>
        <w:sz w:val="15"/>
        <w:szCs w:val="15"/>
      </w:rPr>
      <w:t>Intelligence</w:t>
    </w:r>
    <w:proofErr w:type="spellEnd"/>
    <w:r>
      <w:rPr>
        <w:color w:val="888888"/>
        <w:sz w:val="15"/>
        <w:szCs w:val="15"/>
      </w:rPr>
      <w:t xml:space="preserve"> </w:t>
    </w:r>
    <w:proofErr w:type="gramStart"/>
    <w:r>
      <w:rPr>
        <w:color w:val="888888"/>
        <w:sz w:val="15"/>
        <w:szCs w:val="15"/>
      </w:rPr>
      <w:t>2025  |</w:t>
    </w:r>
    <w:proofErr w:type="gramEnd"/>
    <w:r>
      <w:rPr>
        <w:color w:val="888888"/>
        <w:sz w:val="15"/>
        <w:szCs w:val="15"/>
      </w:rPr>
      <w:t xml:space="preserve">  Pág.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PAGE</w:instrText>
    </w:r>
    <w:r>
      <w:rPr>
        <w:color w:val="888888"/>
        <w:sz w:val="15"/>
        <w:szCs w:val="15"/>
      </w:rPr>
      <w:fldChar w:fldCharType="separate"/>
    </w:r>
    <w:r w:rsidR="00A50084">
      <w:rPr>
        <w:noProof/>
        <w:color w:val="888888"/>
        <w:sz w:val="15"/>
        <w:szCs w:val="15"/>
      </w:rPr>
      <w:t>1</w:t>
    </w:r>
    <w:r>
      <w:rPr>
        <w:color w:val="888888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3E94" w14:textId="77777777" w:rsidR="008959FE" w:rsidRDefault="008959FE">
      <w:r>
        <w:separator/>
      </w:r>
    </w:p>
  </w:footnote>
  <w:footnote w:type="continuationSeparator" w:id="0">
    <w:p w14:paraId="3A7B7AE5" w14:textId="77777777" w:rsidR="008959FE" w:rsidRDefault="00895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35826" w14:textId="77777777" w:rsidR="005F4008" w:rsidRDefault="008959FE">
    <w:pPr>
      <w:pBdr>
        <w:bottom w:val="single" w:sz="4" w:space="0" w:color="1A5C38"/>
      </w:pBdr>
    </w:pPr>
    <w:r>
      <w:rPr>
        <w:color w:val="888888"/>
        <w:sz w:val="16"/>
        <w:szCs w:val="16"/>
      </w:rPr>
      <w:t xml:space="preserve">RADAR LATAM </w:t>
    </w:r>
    <w:proofErr w:type="gramStart"/>
    <w:r>
      <w:rPr>
        <w:color w:val="888888"/>
        <w:sz w:val="16"/>
        <w:szCs w:val="16"/>
      </w:rPr>
      <w:t>2025  |</w:t>
    </w:r>
    <w:proofErr w:type="gramEnd"/>
    <w:r>
      <w:rPr>
        <w:color w:val="888888"/>
        <w:sz w:val="16"/>
        <w:szCs w:val="16"/>
      </w:rPr>
      <w:t xml:space="preserve">  Centroamérica + Sudamérica + </w:t>
    </w:r>
    <w:proofErr w:type="gramStart"/>
    <w:r>
      <w:rPr>
        <w:color w:val="888888"/>
        <w:sz w:val="16"/>
        <w:szCs w:val="16"/>
      </w:rPr>
      <w:t>Caribe  |</w:t>
    </w:r>
    <w:proofErr w:type="gramEnd"/>
    <w:r>
      <w:rPr>
        <w:color w:val="888888"/>
        <w:sz w:val="16"/>
        <w:szCs w:val="16"/>
      </w:rPr>
      <w:t xml:space="preserve">  Inteligencia de mercado para franquicias mexicanas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508D0"/>
    <w:multiLevelType w:val="hybridMultilevel"/>
    <w:tmpl w:val="83DAD796"/>
    <w:lvl w:ilvl="0" w:tplc="1A1AD132">
      <w:start w:val="1"/>
      <w:numFmt w:val="bullet"/>
      <w:lvlText w:val="●"/>
      <w:lvlJc w:val="left"/>
      <w:pPr>
        <w:ind w:left="720" w:hanging="360"/>
      </w:pPr>
    </w:lvl>
    <w:lvl w:ilvl="1" w:tplc="FC8656A0">
      <w:start w:val="1"/>
      <w:numFmt w:val="bullet"/>
      <w:lvlText w:val="○"/>
      <w:lvlJc w:val="left"/>
      <w:pPr>
        <w:ind w:left="1440" w:hanging="360"/>
      </w:pPr>
    </w:lvl>
    <w:lvl w:ilvl="2" w:tplc="9566DD1A">
      <w:start w:val="1"/>
      <w:numFmt w:val="bullet"/>
      <w:lvlText w:val="■"/>
      <w:lvlJc w:val="left"/>
      <w:pPr>
        <w:ind w:left="2160" w:hanging="360"/>
      </w:pPr>
    </w:lvl>
    <w:lvl w:ilvl="3" w:tplc="F290186C">
      <w:start w:val="1"/>
      <w:numFmt w:val="bullet"/>
      <w:lvlText w:val="●"/>
      <w:lvlJc w:val="left"/>
      <w:pPr>
        <w:ind w:left="2880" w:hanging="360"/>
      </w:pPr>
    </w:lvl>
    <w:lvl w:ilvl="4" w:tplc="549C6018">
      <w:start w:val="1"/>
      <w:numFmt w:val="bullet"/>
      <w:lvlText w:val="○"/>
      <w:lvlJc w:val="left"/>
      <w:pPr>
        <w:ind w:left="3600" w:hanging="360"/>
      </w:pPr>
    </w:lvl>
    <w:lvl w:ilvl="5" w:tplc="0602FF12">
      <w:start w:val="1"/>
      <w:numFmt w:val="bullet"/>
      <w:lvlText w:val="■"/>
      <w:lvlJc w:val="left"/>
      <w:pPr>
        <w:ind w:left="4320" w:hanging="360"/>
      </w:pPr>
    </w:lvl>
    <w:lvl w:ilvl="6" w:tplc="24B0B986">
      <w:start w:val="1"/>
      <w:numFmt w:val="bullet"/>
      <w:lvlText w:val="●"/>
      <w:lvlJc w:val="left"/>
      <w:pPr>
        <w:ind w:left="5040" w:hanging="360"/>
      </w:pPr>
    </w:lvl>
    <w:lvl w:ilvl="7" w:tplc="D4A2D010">
      <w:start w:val="1"/>
      <w:numFmt w:val="bullet"/>
      <w:lvlText w:val="●"/>
      <w:lvlJc w:val="left"/>
      <w:pPr>
        <w:ind w:left="5760" w:hanging="360"/>
      </w:pPr>
    </w:lvl>
    <w:lvl w:ilvl="8" w:tplc="AC42F994">
      <w:start w:val="1"/>
      <w:numFmt w:val="bullet"/>
      <w:lvlText w:val="●"/>
      <w:lvlJc w:val="left"/>
      <w:pPr>
        <w:ind w:left="6480" w:hanging="360"/>
      </w:pPr>
    </w:lvl>
  </w:abstractNum>
  <w:num w:numId="1" w16cid:durableId="10205479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008"/>
    <w:rsid w:val="004D74E0"/>
    <w:rsid w:val="005F4008"/>
    <w:rsid w:val="008959FE"/>
    <w:rsid w:val="00A50084"/>
    <w:rsid w:val="00E1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2DAE80"/>
  <w15:docId w15:val="{B1CBF161-6F33-407D-BE3B-0F46DA33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2955</Words>
  <Characters>17730</Characters>
  <Application>Microsoft Office Word</Application>
  <DocSecurity>0</DocSecurity>
  <Lines>985</Lines>
  <Paragraphs>1088</Paragraphs>
  <ScaleCrop>false</ScaleCrop>
  <Company/>
  <LinksUpToDate>false</LinksUpToDate>
  <CharactersWithSpaces>19597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2026-06-08T02:05:00Z</dcterms:created>
  <dcterms:modified xsi:type="dcterms:W3CDTF">2026-06-08T02:05:00Z</dcterms:modified>
</cp:coreProperties>
</file>