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840"/>
      </w:tblGrid>
      <w:tr>
        <w:tc>
          <w:tcPr>
            <w:tcW w:type="dxa" w:w="984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A3A6B" w:val="clear"/>
            <w:tcMar>
              <w:top w:type="dxa" w:w="600"/>
              <w:left w:type="dxa" w:w="480"/>
              <w:bottom w:type="dxa" w:w="600"/>
              <w:right w:type="dxa" w:w="4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72"/>
                <w:szCs w:val="72"/>
              </w:rPr>
              <w:t xml:space="preserve">RADAR AMÉRICAS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AABBDD"/>
                <w:sz w:val="24"/>
                <w:szCs w:val="24"/>
              </w:rPr>
              <w:t xml:space="preserve">Inteligencia de mercado para franquicias mexicanas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C8A951"/>
                <w:sz w:val="20"/>
                <w:szCs w:val="20"/>
              </w:rPr>
              <w:t xml:space="preserve">━━━━━━━━━━━━━━━━━━━━━━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C8A951"/>
                <w:sz w:val="28"/>
                <w:szCs w:val="28"/>
              </w:rPr>
              <w:t xml:space="preserve">EUA · CANADÁ · CENTROAMÉRICA · SUDAMÉRICA · EL CARIBE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FFFFFF"/>
                <w:sz w:val="22"/>
                <w:szCs w:val="22"/>
              </w:rPr>
              <w:t xml:space="preserve">Análisis completo: ~35 países y territorios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AABBDD"/>
                <w:sz w:val="20"/>
                <w:szCs w:val="20"/>
              </w:rPr>
              <w:t xml:space="preserve">VENTAJA NATURAL DE MÉXICO: idioma compartido, proximidad geográfica,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AABBDD"/>
                <w:sz w:val="20"/>
                <w:szCs w:val="20"/>
              </w:rPr>
              <w:t xml:space="preserve">afinidad cultural y gastronomía que ya conquista el continente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Edición 2025 — Fuentes: FMI, Banco Mundial, J.P. Morgan, Goldman Sachs, AMF, ABF, IFA</w:t>
            </w:r>
          </w:p>
        </w:tc>
      </w:tr>
    </w:tbl>
    <w:p>
      <w:pPr>
        <w:spacing w:after="6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60"/>
        <w:gridCol w:w="2460"/>
        <w:gridCol w:w="2460"/>
        <w:gridCol w:w="2460"/>
      </w:tblGrid>
      <w:tr>
        <w:tc>
          <w:tcPr>
            <w:tcW w:type="dxa" w:w="24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A3A6B" w:val="clear"/>
            <w:tcMar>
              <w:top w:type="dxa" w:w="130"/>
              <w:left w:type="dxa" w:w="200"/>
              <w:bottom w:type="dxa" w:w="130"/>
              <w:right w:type="dxa" w:w="20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🔵  MERCADOS ANCLA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AABBDD"/>
                <w:sz w:val="16"/>
                <w:szCs w:val="16"/>
              </w:rPr>
              <w:t xml:space="preserve">EUA y Canadá — ecosistemas maduros de franquicias</w:t>
            </w:r>
          </w:p>
        </w:tc>
        <w:tc>
          <w:tcPr>
            <w:tcW w:type="dxa" w:w="24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A5C38" w:val="clear"/>
            <w:tcMar>
              <w:top w:type="dxa" w:w="130"/>
              <w:left w:type="dxa" w:w="200"/>
              <w:bottom w:type="dxa" w:w="130"/>
              <w:right w:type="dxa" w:w="20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🟢  TOP 15 LATAM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AADDBB"/>
                <w:sz w:val="16"/>
                <w:szCs w:val="16"/>
              </w:rPr>
              <w:t xml:space="preserve">Máximo potencial — entrada recomendada</w:t>
            </w:r>
          </w:p>
        </w:tc>
        <w:tc>
          <w:tcPr>
            <w:tcW w:type="dxa" w:w="24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D4A017" w:val="clear"/>
            <w:tcMar>
              <w:top w:type="dxa" w:w="130"/>
              <w:left w:type="dxa" w:w="200"/>
              <w:bottom w:type="dxa" w:w="130"/>
              <w:right w:type="dxa" w:w="20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🟡  EN DESARROLLO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FFFFFF"/>
                <w:sz w:val="16"/>
                <w:szCs w:val="16"/>
              </w:rPr>
              <w:t xml:space="preserve">Potencial medio — barreras a evaluar</w:t>
            </w:r>
          </w:p>
        </w:tc>
        <w:tc>
          <w:tcPr>
            <w:tcW w:type="dxa" w:w="24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8B1A1A" w:val="clear"/>
            <w:tcMar>
              <w:top w:type="dxa" w:w="130"/>
              <w:left w:type="dxa" w:w="200"/>
              <w:bottom w:type="dxa" w:w="130"/>
              <w:right w:type="dxa" w:w="20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🔴  SIN VIABILIDAD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FFAAAA"/>
                <w:sz w:val="16"/>
                <w:szCs w:val="16"/>
              </w:rPr>
              <w:t xml:space="preserve">Micro-estados, crisis o mercado inaccesible</w:t>
            </w:r>
          </w:p>
        </w:tc>
      </w:tr>
    </w:tbl>
    <w:p>
      <w:pPr>
        <w:spacing w:after="6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p>
      <w:r>
        <w:br w:type="pag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840"/>
      </w:tblGrid>
      <w:tr>
        <w:tc>
          <w:tcPr>
            <w:tcW w:type="dxa" w:w="984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A3A6B" w:val="clear"/>
            <w:tcMar>
              <w:top w:type="dxa" w:w="200"/>
              <w:left w:type="dxa" w:w="360"/>
              <w:bottom w:type="dxa" w:w="200"/>
              <w:right w:type="dxa" w:w="36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36"/>
                <w:szCs w:val="36"/>
              </w:rPr>
              <w:t xml:space="preserve">🔵  SECCIÓN 1 — MERCADOS ANCLA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AABBDD"/>
                <w:sz w:val="21"/>
                <w:szCs w:val="21"/>
              </w:rPr>
              <w:t xml:space="preserve">Estados Unidos y Canadá — Ecosistemas de franquicias de clase mundial con ventajas únicas para marcas mexicanas</w:t>
            </w:r>
          </w:p>
        </w:tc>
      </w:tr>
    </w:tbl>
    <w:p>
      <w:pPr>
        <w:spacing w:after="6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40"/>
        <w:gridCol w:w="2800"/>
      </w:tblGrid>
      <w:tr>
        <w:tc>
          <w:tcPr>
            <w:tcW w:type="dxa" w:w="7040"/>
            <w:tcBorders>
              <w:top w:val="single" w:color="2E5FA3" w:sz="8"/>
              <w:left w:val="single" w:color="2E5FA3" w:sz="8"/>
              <w:bottom w:val="single" w:color="1A3A6B" w:sz="2"/>
              <w:right w:val="none" w:color="FFFFFF" w:sz="0"/>
            </w:tcBorders>
            <w:shd w:fill="2E5FA3" w:val="clear"/>
            <w:tcMar>
              <w:top w:type="dxa" w:w="120"/>
              <w:left w:type="dxa" w:w="220"/>
              <w:bottom w:type="dxa" w:w="120"/>
              <w:right w:type="dxa" w:w="100"/>
            </w:tcMar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32"/>
                <w:szCs w:val="32"/>
              </w:rPr>
              <w:t xml:space="preserve">🇺🇸  ESTADOS UNIDOS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AABBDD"/>
                <w:sz w:val="18"/>
                <w:szCs w:val="18"/>
              </w:rPr>
              <w:t xml:space="preserve">El mayor mercado de franquicias del mundo — 40M+ hispanos y cultura mexicana integrada</w:t>
            </w:r>
          </w:p>
        </w:tc>
        <w:tc>
          <w:tcPr>
            <w:tcW w:type="dxa" w:w="2800"/>
            <w:tcBorders>
              <w:top w:val="single" w:color="2E5FA3" w:sz="8"/>
              <w:left w:val="none" w:color="FFFFFF" w:sz="0"/>
              <w:bottom w:val="single" w:color="1A3A6B" w:sz="2"/>
              <w:right w:val="single" w:color="2E5FA3" w:sz="8"/>
            </w:tcBorders>
            <w:shd w:fill="1A3A6B" w:val="clear"/>
            <w:tcMar>
              <w:top w:type="dxa" w:w="120"/>
              <w:left w:type="dxa" w:w="100"/>
              <w:bottom w:type="dxa" w:w="120"/>
              <w:right w:type="dxa" w:w="220"/>
            </w:tcMar>
          </w:tcPr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AABBDD"/>
                <w:sz w:val="18"/>
                <w:szCs w:val="18"/>
              </w:rPr>
              <w:t xml:space="preserve">Norteamérica</w:t>
            </w:r>
          </w:p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/>
                <w:bCs/>
                <w:color w:val="C8A951"/>
                <w:sz w:val="20"/>
                <w:szCs w:val="20"/>
              </w:rPr>
              <w:t xml:space="preserve">MERCADO ANCLA — PRIORIDAD MÁXIMA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5"/>
        <w:gridCol w:w="1405"/>
        <w:gridCol w:w="1405"/>
        <w:gridCol w:w="1405"/>
        <w:gridCol w:w="1405"/>
        <w:gridCol w:w="1405"/>
        <w:gridCol w:w="1405"/>
      </w:tblGrid>
      <w:tr>
        <w:tc>
          <w:tcPr>
            <w:tcW w:type="dxa" w:w="1405"/>
            <w:tcBorders>
              <w:top w:val="single" w:color="A0B8D8" w:sz="1"/>
              <w:left w:val="single" w:color="A0B8D8" w:sz="1"/>
              <w:bottom w:val="single" w:color="A0B8D8" w:sz="1"/>
              <w:right w:val="single" w:color="A0B8D8" w:sz="1"/>
            </w:tcBorders>
            <w:shd w:fill="EEF3FB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3A6B"/>
                <w:sz w:val="22"/>
                <w:szCs w:val="22"/>
              </w:rPr>
              <w:t xml:space="preserve">340M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5FA3"/>
                <w:sz w:val="16"/>
                <w:szCs w:val="16"/>
              </w:rPr>
              <w:t xml:space="preserve">Población</w:t>
            </w:r>
          </w:p>
        </w:tc>
        <w:tc>
          <w:tcPr>
            <w:tcW w:type="dxa" w:w="1405"/>
            <w:tcBorders>
              <w:top w:val="single" w:color="A0B8D8" w:sz="1"/>
              <w:left w:val="single" w:color="A0B8D8" w:sz="1"/>
              <w:bottom w:val="single" w:color="A0B8D8" w:sz="1"/>
              <w:right w:val="single" w:color="A0B8D8" w:sz="1"/>
            </w:tcBorders>
            <w:shd w:fill="EEF3FB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3A6B"/>
                <w:sz w:val="22"/>
                <w:szCs w:val="22"/>
              </w:rPr>
              <w:t xml:space="preserve">$29.2T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5FA3"/>
                <w:sz w:val="16"/>
                <w:szCs w:val="16"/>
              </w:rPr>
              <w:t xml:space="preserve">PIB Nominal</w:t>
            </w:r>
          </w:p>
        </w:tc>
        <w:tc>
          <w:tcPr>
            <w:tcW w:type="dxa" w:w="1405"/>
            <w:tcBorders>
              <w:top w:val="single" w:color="A0B8D8" w:sz="1"/>
              <w:left w:val="single" w:color="A0B8D8" w:sz="1"/>
              <w:bottom w:val="single" w:color="A0B8D8" w:sz="1"/>
              <w:right w:val="single" w:color="A0B8D8" w:sz="1"/>
            </w:tcBorders>
            <w:shd w:fill="EEF3FB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3A6B"/>
                <w:sz w:val="22"/>
                <w:szCs w:val="22"/>
              </w:rPr>
              <w:t xml:space="preserve">$85,900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5FA3"/>
                <w:sz w:val="16"/>
                <w:szCs w:val="16"/>
              </w:rPr>
              <w:t xml:space="preserve">PIB/cápita</w:t>
            </w:r>
          </w:p>
        </w:tc>
        <w:tc>
          <w:tcPr>
            <w:tcW w:type="dxa" w:w="1405"/>
            <w:tcBorders>
              <w:top w:val="single" w:color="A0B8D8" w:sz="1"/>
              <w:left w:val="single" w:color="A0B8D8" w:sz="1"/>
              <w:bottom w:val="single" w:color="A0B8D8" w:sz="1"/>
              <w:right w:val="single" w:color="A0B8D8" w:sz="1"/>
            </w:tcBorders>
            <w:shd w:fill="EEF3FB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3A6B"/>
                <w:sz w:val="22"/>
                <w:szCs w:val="22"/>
              </w:rPr>
              <w:t xml:space="preserve">2.7%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5FA3"/>
                <w:sz w:val="16"/>
                <w:szCs w:val="16"/>
              </w:rPr>
              <w:t xml:space="preserve">Crecimiento</w:t>
            </w:r>
          </w:p>
        </w:tc>
        <w:tc>
          <w:tcPr>
            <w:tcW w:type="dxa" w:w="1405"/>
            <w:tcBorders>
              <w:top w:val="single" w:color="A0B8D8" w:sz="1"/>
              <w:left w:val="single" w:color="A0B8D8" w:sz="1"/>
              <w:bottom w:val="single" w:color="A0B8D8" w:sz="1"/>
              <w:right w:val="single" w:color="A0B8D8" w:sz="1"/>
            </w:tcBorders>
            <w:shd w:fill="EEF3FB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3A6B"/>
                <w:sz w:val="22"/>
                <w:szCs w:val="22"/>
              </w:rPr>
              <w:t xml:space="preserve">3.0%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5FA3"/>
                <w:sz w:val="16"/>
                <w:szCs w:val="16"/>
              </w:rPr>
              <w:t xml:space="preserve">Inflación</w:t>
            </w:r>
          </w:p>
        </w:tc>
        <w:tc>
          <w:tcPr>
            <w:tcW w:type="dxa" w:w="1405"/>
            <w:tcBorders>
              <w:top w:val="single" w:color="A0B8D8" w:sz="1"/>
              <w:left w:val="single" w:color="A0B8D8" w:sz="1"/>
              <w:bottom w:val="single" w:color="A0B8D8" w:sz="1"/>
              <w:right w:val="single" w:color="A0B8D8" w:sz="1"/>
            </w:tcBorders>
            <w:shd w:fill="EEF3FB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3A6B"/>
                <w:sz w:val="22"/>
                <w:szCs w:val="22"/>
              </w:rPr>
              <w:t xml:space="preserve">83%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5FA3"/>
                <w:sz w:val="16"/>
                <w:szCs w:val="16"/>
              </w:rPr>
              <w:t xml:space="preserve">Urbanización</w:t>
            </w:r>
          </w:p>
        </w:tc>
        <w:tc>
          <w:tcPr>
            <w:tcW w:type="dxa" w:w="1405"/>
            <w:tcBorders>
              <w:top w:val="single" w:color="A0B8D8" w:sz="1"/>
              <w:left w:val="single" w:color="A0B8D8" w:sz="1"/>
              <w:bottom w:val="single" w:color="A0B8D8" w:sz="1"/>
              <w:right w:val="single" w:color="A0B8D8" w:sz="1"/>
            </w:tcBorders>
            <w:shd w:fill="EEF3FB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3A6B"/>
                <w:sz w:val="22"/>
                <w:szCs w:val="22"/>
              </w:rPr>
              <w:t xml:space="preserve">38 años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5FA3"/>
                <w:sz w:val="16"/>
                <w:szCs w:val="16"/>
              </w:rPr>
              <w:t xml:space="preserve">Edad mediana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920"/>
        <w:gridCol w:w="4920"/>
      </w:tblGrid>
      <w:tr>
        <w:tc>
          <w:tcPr>
            <w:tcW w:type="dxa" w:w="4920"/>
            <w:tcBorders>
              <w:top w:val="single" w:color="B0C8E0" w:sz="1"/>
              <w:left w:val="single" w:color="B0C8E0" w:sz="1"/>
              <w:bottom w:val="single" w:color="B0C8E0" w:sz="1"/>
              <w:right w:val="single" w:color="B0C8E0" w:sz="1"/>
            </w:tcBorders>
            <w:shd w:fill="F0F5FC" w:val="clear"/>
            <w:tcMar>
              <w:top w:type="dxa" w:w="120"/>
              <w:left w:type="dxa" w:w="160"/>
              <w:bottom w:type="dxa" w:w="120"/>
              <w:right w:type="dxa" w:w="10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1A3A6B"/>
                <w:sz w:val="19"/>
                <w:szCs w:val="19"/>
              </w:rPr>
              <w:t xml:space="preserve">✅  Oportunidades para marcas mexicanas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40+ millones de hispanos — mercado natural para autenticidad mexicana (tacos, burritos, aguas frescas)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Mercado de franquicias más grande y maduro del mundo: &gt;$936B en output (2025)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Infraestructura legal, financiera y logística de primer nivel para operar franquicias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Fast-casual mexicano de alto crecimiento: Chipotle, Torchy's, Taco Bell demuestran el apetito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Texas, California, Arizona, Illinois — estados con millones de consumidores de origen mexicano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Cultura del delivery y QSR embebida — tecnología de pedidos bien desarrollada</w:t>
            </w:r>
          </w:p>
        </w:tc>
        <w:tc>
          <w:tcPr>
            <w:tcW w:type="dxa" w:w="49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4F4" w:val="clear"/>
            <w:tcMar>
              <w:top w:type="dxa" w:w="120"/>
              <w:left w:type="dxa" w:w="100"/>
              <w:bottom w:type="dxa" w:w="120"/>
              <w:right w:type="dxa" w:w="16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885500"/>
                <w:sz w:val="19"/>
                <w:szCs w:val="19"/>
              </w:rPr>
              <w:t xml:space="preserve">⚠  Consideraciones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Mercado ultra-competido — diferenciación de marca es crítica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Regulaciones laborales estatales complejas y costos altos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Tariffs y volatilidad comercial MX-EUA en 2025 generan incertidumbre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/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Sistemas/unidades: 785,000+ unidades activas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Foodservice: $1.3T foodservice (2025)</w:t>
            </w:r>
          </w:p>
        </w:tc>
      </w:tr>
    </w:tbl>
    <w:p>
      <w:pPr>
        <w:spacing w:after="20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40"/>
        <w:gridCol w:w="2800"/>
      </w:tblGrid>
      <w:tr>
        <w:tc>
          <w:tcPr>
            <w:tcW w:type="dxa" w:w="7040"/>
            <w:tcBorders>
              <w:top w:val="single" w:color="2E5FA3" w:sz="8"/>
              <w:left w:val="single" w:color="2E5FA3" w:sz="8"/>
              <w:bottom w:val="single" w:color="1A3A6B" w:sz="2"/>
              <w:right w:val="none" w:color="FFFFFF" w:sz="0"/>
            </w:tcBorders>
            <w:shd w:fill="2E5FA3" w:val="clear"/>
            <w:tcMar>
              <w:top w:type="dxa" w:w="120"/>
              <w:left w:type="dxa" w:w="220"/>
              <w:bottom w:type="dxa" w:w="120"/>
              <w:right w:type="dxa" w:w="100"/>
            </w:tcMar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32"/>
                <w:szCs w:val="32"/>
              </w:rPr>
              <w:t xml:space="preserve">🇨🇦  CANADÁ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AABBDD"/>
                <w:sz w:val="18"/>
                <w:szCs w:val="18"/>
              </w:rPr>
              <w:t xml:space="preserve">Multicultural, abierto y con clase media sólida — puerta al mercado angloparlante</w:t>
            </w:r>
          </w:p>
        </w:tc>
        <w:tc>
          <w:tcPr>
            <w:tcW w:type="dxa" w:w="2800"/>
            <w:tcBorders>
              <w:top w:val="single" w:color="2E5FA3" w:sz="8"/>
              <w:left w:val="none" w:color="FFFFFF" w:sz="0"/>
              <w:bottom w:val="single" w:color="1A3A6B" w:sz="2"/>
              <w:right w:val="single" w:color="2E5FA3" w:sz="8"/>
            </w:tcBorders>
            <w:shd w:fill="1A3A6B" w:val="clear"/>
            <w:tcMar>
              <w:top w:type="dxa" w:w="120"/>
              <w:left w:type="dxa" w:w="100"/>
              <w:bottom w:type="dxa" w:w="120"/>
              <w:right w:type="dxa" w:w="220"/>
            </w:tcMar>
          </w:tcPr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AABBDD"/>
                <w:sz w:val="18"/>
                <w:szCs w:val="18"/>
              </w:rPr>
              <w:t xml:space="preserve">Norteamérica</w:t>
            </w:r>
          </w:p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/>
                <w:bCs/>
                <w:color w:val="C8A951"/>
                <w:sz w:val="20"/>
                <w:szCs w:val="20"/>
              </w:rPr>
              <w:t xml:space="preserve">MERCADO PRIORITARIO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5"/>
        <w:gridCol w:w="1405"/>
        <w:gridCol w:w="1405"/>
        <w:gridCol w:w="1405"/>
        <w:gridCol w:w="1405"/>
        <w:gridCol w:w="1405"/>
        <w:gridCol w:w="1405"/>
      </w:tblGrid>
      <w:tr>
        <w:tc>
          <w:tcPr>
            <w:tcW w:type="dxa" w:w="1405"/>
            <w:tcBorders>
              <w:top w:val="single" w:color="A0B8D8" w:sz="1"/>
              <w:left w:val="single" w:color="A0B8D8" w:sz="1"/>
              <w:bottom w:val="single" w:color="A0B8D8" w:sz="1"/>
              <w:right w:val="single" w:color="A0B8D8" w:sz="1"/>
            </w:tcBorders>
            <w:shd w:fill="EEF3FB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3A6B"/>
                <w:sz w:val="22"/>
                <w:szCs w:val="22"/>
              </w:rPr>
              <w:t xml:space="preserve">40M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5FA3"/>
                <w:sz w:val="16"/>
                <w:szCs w:val="16"/>
              </w:rPr>
              <w:t xml:space="preserve">Población</w:t>
            </w:r>
          </w:p>
        </w:tc>
        <w:tc>
          <w:tcPr>
            <w:tcW w:type="dxa" w:w="1405"/>
            <w:tcBorders>
              <w:top w:val="single" w:color="A0B8D8" w:sz="1"/>
              <w:left w:val="single" w:color="A0B8D8" w:sz="1"/>
              <w:bottom w:val="single" w:color="A0B8D8" w:sz="1"/>
              <w:right w:val="single" w:color="A0B8D8" w:sz="1"/>
            </w:tcBorders>
            <w:shd w:fill="EEF3FB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3A6B"/>
                <w:sz w:val="22"/>
                <w:szCs w:val="22"/>
              </w:rPr>
              <w:t xml:space="preserve">$2.24T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5FA3"/>
                <w:sz w:val="16"/>
                <w:szCs w:val="16"/>
              </w:rPr>
              <w:t xml:space="preserve">PIB Nominal</w:t>
            </w:r>
          </w:p>
        </w:tc>
        <w:tc>
          <w:tcPr>
            <w:tcW w:type="dxa" w:w="1405"/>
            <w:tcBorders>
              <w:top w:val="single" w:color="A0B8D8" w:sz="1"/>
              <w:left w:val="single" w:color="A0B8D8" w:sz="1"/>
              <w:bottom w:val="single" w:color="A0B8D8" w:sz="1"/>
              <w:right w:val="single" w:color="A0B8D8" w:sz="1"/>
            </w:tcBorders>
            <w:shd w:fill="EEF3FB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3A6B"/>
                <w:sz w:val="22"/>
                <w:szCs w:val="22"/>
              </w:rPr>
              <w:t xml:space="preserve">$56,000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5FA3"/>
                <w:sz w:val="16"/>
                <w:szCs w:val="16"/>
              </w:rPr>
              <w:t xml:space="preserve">PIB/cápita</w:t>
            </w:r>
          </w:p>
        </w:tc>
        <w:tc>
          <w:tcPr>
            <w:tcW w:type="dxa" w:w="1405"/>
            <w:tcBorders>
              <w:top w:val="single" w:color="A0B8D8" w:sz="1"/>
              <w:left w:val="single" w:color="A0B8D8" w:sz="1"/>
              <w:bottom w:val="single" w:color="A0B8D8" w:sz="1"/>
              <w:right w:val="single" w:color="A0B8D8" w:sz="1"/>
            </w:tcBorders>
            <w:shd w:fill="EEF3FB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3A6B"/>
                <w:sz w:val="22"/>
                <w:szCs w:val="22"/>
              </w:rPr>
              <w:t xml:space="preserve">1.4%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5FA3"/>
                <w:sz w:val="16"/>
                <w:szCs w:val="16"/>
              </w:rPr>
              <w:t xml:space="preserve">Crecimiento</w:t>
            </w:r>
          </w:p>
        </w:tc>
        <w:tc>
          <w:tcPr>
            <w:tcW w:type="dxa" w:w="1405"/>
            <w:tcBorders>
              <w:top w:val="single" w:color="A0B8D8" w:sz="1"/>
              <w:left w:val="single" w:color="A0B8D8" w:sz="1"/>
              <w:bottom w:val="single" w:color="A0B8D8" w:sz="1"/>
              <w:right w:val="single" w:color="A0B8D8" w:sz="1"/>
            </w:tcBorders>
            <w:shd w:fill="EEF3FB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3A6B"/>
                <w:sz w:val="22"/>
                <w:szCs w:val="22"/>
              </w:rPr>
              <w:t xml:space="preserve">2.3%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5FA3"/>
                <w:sz w:val="16"/>
                <w:szCs w:val="16"/>
              </w:rPr>
              <w:t xml:space="preserve">Inflación</w:t>
            </w:r>
          </w:p>
        </w:tc>
        <w:tc>
          <w:tcPr>
            <w:tcW w:type="dxa" w:w="1405"/>
            <w:tcBorders>
              <w:top w:val="single" w:color="A0B8D8" w:sz="1"/>
              <w:left w:val="single" w:color="A0B8D8" w:sz="1"/>
              <w:bottom w:val="single" w:color="A0B8D8" w:sz="1"/>
              <w:right w:val="single" w:color="A0B8D8" w:sz="1"/>
            </w:tcBorders>
            <w:shd w:fill="EEF3FB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3A6B"/>
                <w:sz w:val="22"/>
                <w:szCs w:val="22"/>
              </w:rPr>
              <w:t xml:space="preserve">81%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5FA3"/>
                <w:sz w:val="16"/>
                <w:szCs w:val="16"/>
              </w:rPr>
              <w:t xml:space="preserve">Urbanización</w:t>
            </w:r>
          </w:p>
        </w:tc>
        <w:tc>
          <w:tcPr>
            <w:tcW w:type="dxa" w:w="1405"/>
            <w:tcBorders>
              <w:top w:val="single" w:color="A0B8D8" w:sz="1"/>
              <w:left w:val="single" w:color="A0B8D8" w:sz="1"/>
              <w:bottom w:val="single" w:color="A0B8D8" w:sz="1"/>
              <w:right w:val="single" w:color="A0B8D8" w:sz="1"/>
            </w:tcBorders>
            <w:shd w:fill="EEF3FB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3A6B"/>
                <w:sz w:val="22"/>
                <w:szCs w:val="22"/>
              </w:rPr>
              <w:t xml:space="preserve">42 años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5FA3"/>
                <w:sz w:val="16"/>
                <w:szCs w:val="16"/>
              </w:rPr>
              <w:t xml:space="preserve">Edad mediana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920"/>
        <w:gridCol w:w="4920"/>
      </w:tblGrid>
      <w:tr>
        <w:tc>
          <w:tcPr>
            <w:tcW w:type="dxa" w:w="4920"/>
            <w:tcBorders>
              <w:top w:val="single" w:color="B0C8E0" w:sz="1"/>
              <w:left w:val="single" w:color="B0C8E0" w:sz="1"/>
              <w:bottom w:val="single" w:color="B0C8E0" w:sz="1"/>
              <w:right w:val="single" w:color="B0C8E0" w:sz="1"/>
            </w:tcBorders>
            <w:shd w:fill="F0F5FC" w:val="clear"/>
            <w:tcMar>
              <w:top w:type="dxa" w:w="120"/>
              <w:left w:type="dxa" w:w="160"/>
              <w:bottom w:type="dxa" w:w="120"/>
              <w:right w:type="dxa" w:w="10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1A3A6B"/>
                <w:sz w:val="19"/>
                <w:szCs w:val="19"/>
              </w:rPr>
              <w:t xml:space="preserve">✅  Oportunidades para marcas mexicanas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Multiculturalismo institucional — marcas internacionales se adoptan con entusiasmo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Clase media sólida con alto poder adquisitivo y consumo sofisticado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Mercado de foodservice en expansión: CAGR 16.8% en cadenas hacia 2031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Ciudades como Toronto y Vancouver con fuerte población latinoamericana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Marco legal y sistema bancario de primer nivel — ambiente predecible para franquicias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Apertura cultural a cocina mexicana auténtica — tendencia creciente</w:t>
            </w:r>
          </w:p>
        </w:tc>
        <w:tc>
          <w:tcPr>
            <w:tcW w:type="dxa" w:w="49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4F4" w:val="clear"/>
            <w:tcMar>
              <w:top w:type="dxa" w:w="120"/>
              <w:left w:type="dxa" w:w="100"/>
              <w:bottom w:type="dxa" w:w="120"/>
              <w:right w:type="dxa" w:w="16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885500"/>
                <w:sz w:val="19"/>
                <w:szCs w:val="19"/>
              </w:rPr>
              <w:t xml:space="preserve">⚠  Consideraciones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Crecimiento del PIB lento (1.4%) — economía en desaceleración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Costos laborales altos y clima regulatorio estricto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Distancia cultural — requiere adaptación de menú para clima frío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/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Sistemas/unidades: ~1,300 marcas activas, 95,000+ unidades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Foodservice: $93B (CAGR 16.8%)</w:t>
            </w:r>
          </w:p>
        </w:tc>
      </w:tr>
    </w:tbl>
    <w:p>
      <w:pPr>
        <w:spacing w:after="20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p>
      <w:r>
        <w:br w:type="pag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840"/>
      </w:tblGrid>
      <w:tr>
        <w:tc>
          <w:tcPr>
            <w:tcW w:type="dxa" w:w="984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A5C38" w:val="clear"/>
            <w:tcMar>
              <w:top w:type="dxa" w:w="200"/>
              <w:left w:type="dxa" w:w="360"/>
              <w:bottom w:type="dxa" w:w="200"/>
              <w:right w:type="dxa" w:w="36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36"/>
                <w:szCs w:val="36"/>
              </w:rPr>
              <w:t xml:space="preserve">🟢  SECCIÓN 2 — TOP 15 MERCADOS LATAM PRIORITARIOS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AADDBB"/>
                <w:sz w:val="21"/>
                <w:szCs w:val="21"/>
              </w:rPr>
              <w:t xml:space="preserve">Centroamérica, Sudamérica y el Caribe — mercados con mayor potencial para franquicias mexicanas</w:t>
            </w:r>
          </w:p>
        </w:tc>
      </w:tr>
    </w:tbl>
    <w:p>
      <w:pPr>
        <w:spacing w:after="6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40"/>
        <w:gridCol w:w="2800"/>
      </w:tblGrid>
      <w:tr>
        <w:tc>
          <w:tcPr>
            <w:tcW w:type="dxa" w:w="7040"/>
            <w:tcBorders>
              <w:top w:val="single" w:color="2E7D52" w:sz="8"/>
              <w:left w:val="single" w:color="2E7D52" w:sz="8"/>
              <w:bottom w:val="single" w:color="1A5C38" w:sz="2"/>
              <w:right w:val="none" w:color="FFFFFF" w:sz="0"/>
            </w:tcBorders>
            <w:shd w:fill="2E7D52" w:val="clear"/>
            <w:tcMar>
              <w:top w:type="dxa" w:w="120"/>
              <w:left w:type="dxa" w:w="220"/>
              <w:bottom w:type="dxa" w:w="120"/>
              <w:right w:type="dxa" w:w="100"/>
            </w:tcMar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32"/>
                <w:szCs w:val="32"/>
              </w:rPr>
              <w:t xml:space="preserve">01  🇧🇷  BRASIL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CCEECC"/>
                <w:sz w:val="18"/>
                <w:szCs w:val="18"/>
              </w:rPr>
              <w:t xml:space="preserve">Mayor mercado de franquicias de América Latina — 3,300 marcas y 200,000+ unidades</w:t>
            </w:r>
          </w:p>
        </w:tc>
        <w:tc>
          <w:tcPr>
            <w:tcW w:type="dxa" w:w="2800"/>
            <w:tcBorders>
              <w:top w:val="single" w:color="2E7D52" w:sz="8"/>
              <w:left w:val="none" w:color="FFFFFF" w:sz="0"/>
              <w:bottom w:val="single" w:color="1A5C38" w:sz="2"/>
              <w:right w:val="single" w:color="2E7D52" w:sz="8"/>
            </w:tcBorders>
            <w:shd w:fill="1A5C38" w:val="clear"/>
            <w:tcMar>
              <w:top w:type="dxa" w:w="120"/>
              <w:left w:type="dxa" w:w="100"/>
              <w:bottom w:type="dxa" w:w="120"/>
              <w:right w:type="dxa" w:w="220"/>
            </w:tcMar>
          </w:tcPr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AADDBB"/>
                <w:sz w:val="18"/>
                <w:szCs w:val="18"/>
              </w:rPr>
              <w:t xml:space="preserve">Sudamérica</w:t>
            </w:r>
          </w:p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/>
                <w:bCs/>
                <w:color w:val="C8A951"/>
                <w:sz w:val="20"/>
                <w:szCs w:val="20"/>
              </w:rPr>
              <w:t xml:space="preserve">ENTRADA ESTRATÉGICA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5"/>
        <w:gridCol w:w="1405"/>
        <w:gridCol w:w="1405"/>
        <w:gridCol w:w="1405"/>
        <w:gridCol w:w="1405"/>
        <w:gridCol w:w="1405"/>
        <w:gridCol w:w="1405"/>
      </w:tblGrid>
      <w:tr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217M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Población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$2.13T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PIB Nominal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$9,960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PIB/cápita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2.2%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Crecimiento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5.5%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Inflación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88%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Urbanización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34 años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Edad mediana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920"/>
        <w:gridCol w:w="4920"/>
      </w:tblGrid>
      <w:tr>
        <w:tc>
          <w:tcPr>
            <w:tcW w:type="dxa" w:w="4920"/>
            <w:tcBorders>
              <w:top w:val="single" w:color="B8D8B8" w:sz="1"/>
              <w:left w:val="single" w:color="B8D8B8" w:sz="1"/>
              <w:bottom w:val="single" w:color="B8D8B8" w:sz="1"/>
              <w:right w:val="single" w:color="B8D8B8" w:sz="1"/>
            </w:tcBorders>
            <w:shd w:fill="F0FAF0" w:val="clear"/>
            <w:tcMar>
              <w:top w:type="dxa" w:w="120"/>
              <w:left w:type="dxa" w:w="160"/>
              <w:bottom w:type="dxa" w:w="120"/>
              <w:right w:type="dxa" w:w="10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1A5C38"/>
                <w:sz w:val="19"/>
                <w:szCs w:val="19"/>
              </w:rPr>
              <w:t xml:space="preserve">✅  Fortalezas y oportunidades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Mercado de franquicias más grande de América Latina — ecosistema maduro y sofisticado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217 millones de habitantes con clase media urbana muy activa en consumo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Cultura de mall y QSR muy desarrollada — São Paulo y Río como polos principales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ABF (Asociación Brasileña de Franquicias) proporciona estructura y soporte para extranjeros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Economía en diversificación — agricultura, manufactura, tecnología y servicios</w:t>
            </w:r>
          </w:p>
        </w:tc>
        <w:tc>
          <w:tcPr>
            <w:tcW w:type="dxa" w:w="49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4F4" w:val="clear"/>
            <w:tcMar>
              <w:top w:type="dxa" w:w="120"/>
              <w:left w:type="dxa" w:w="100"/>
              <w:bottom w:type="dxa" w:w="120"/>
              <w:right w:type="dxa" w:w="16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885500"/>
                <w:sz w:val="19"/>
                <w:szCs w:val="19"/>
              </w:rPr>
              <w:t xml:space="preserve">⚠  Consideraciones / Riesgos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95% de franquicias son locales — difícil penetración para marcas extranjeras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Idioma portugués — barrera que requiere adaptación de materiales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Burocracia fiscal alta (Custo Brasil) y complejidad regulatoria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/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Sistemas de franquicia: 3,300 marcas / 200,000+ unidades / 1.7M empleos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Foodservice: CAGR ~8% anual</w:t>
            </w:r>
          </w:p>
        </w:tc>
      </w:tr>
    </w:tbl>
    <w:p>
      <w:pPr>
        <w:spacing w:after="20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40"/>
        <w:gridCol w:w="2800"/>
      </w:tblGrid>
      <w:tr>
        <w:tc>
          <w:tcPr>
            <w:tcW w:type="dxa" w:w="7040"/>
            <w:tcBorders>
              <w:top w:val="single" w:color="2E7D52" w:sz="8"/>
              <w:left w:val="single" w:color="2E7D52" w:sz="8"/>
              <w:bottom w:val="single" w:color="1A5C38" w:sz="2"/>
              <w:right w:val="none" w:color="FFFFFF" w:sz="0"/>
            </w:tcBorders>
            <w:shd w:fill="2E7D52" w:val="clear"/>
            <w:tcMar>
              <w:top w:type="dxa" w:w="120"/>
              <w:left w:type="dxa" w:w="220"/>
              <w:bottom w:type="dxa" w:w="120"/>
              <w:right w:type="dxa" w:w="100"/>
            </w:tcMar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32"/>
                <w:szCs w:val="32"/>
              </w:rPr>
              <w:t xml:space="preserve">02  🇨🇴  COLOMBIA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CCEECC"/>
                <w:sz w:val="18"/>
                <w:szCs w:val="18"/>
              </w:rPr>
              <w:t xml:space="preserve">El mercado más similar a México culturalmente — clase media en expansión y QSR en auge</w:t>
            </w:r>
          </w:p>
        </w:tc>
        <w:tc>
          <w:tcPr>
            <w:tcW w:type="dxa" w:w="2800"/>
            <w:tcBorders>
              <w:top w:val="single" w:color="2E7D52" w:sz="8"/>
              <w:left w:val="none" w:color="FFFFFF" w:sz="0"/>
              <w:bottom w:val="single" w:color="1A5C38" w:sz="2"/>
              <w:right w:val="single" w:color="2E7D52" w:sz="8"/>
            </w:tcBorders>
            <w:shd w:fill="1A5C38" w:val="clear"/>
            <w:tcMar>
              <w:top w:type="dxa" w:w="120"/>
              <w:left w:type="dxa" w:w="100"/>
              <w:bottom w:type="dxa" w:w="120"/>
              <w:right w:type="dxa" w:w="220"/>
            </w:tcMar>
          </w:tcPr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AADDBB"/>
                <w:sz w:val="18"/>
                <w:szCs w:val="18"/>
              </w:rPr>
              <w:t xml:space="preserve">Sudamérica</w:t>
            </w:r>
          </w:p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/>
                <w:bCs/>
                <w:color w:val="C8A951"/>
                <w:sz w:val="20"/>
                <w:szCs w:val="20"/>
              </w:rPr>
              <w:t xml:space="preserve">ENTRADA PRIORITARIA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5"/>
        <w:gridCol w:w="1405"/>
        <w:gridCol w:w="1405"/>
        <w:gridCol w:w="1405"/>
        <w:gridCol w:w="1405"/>
        <w:gridCol w:w="1405"/>
        <w:gridCol w:w="1405"/>
      </w:tblGrid>
      <w:tr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52M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Población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$540B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PIB Nominal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$10,103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PIB/cápita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2.6%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Crecimiento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8.0%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Inflación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82%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Urbanización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31 años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Edad mediana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920"/>
        <w:gridCol w:w="4920"/>
      </w:tblGrid>
      <w:tr>
        <w:tc>
          <w:tcPr>
            <w:tcW w:type="dxa" w:w="4920"/>
            <w:tcBorders>
              <w:top w:val="single" w:color="B8D8B8" w:sz="1"/>
              <w:left w:val="single" w:color="B8D8B8" w:sz="1"/>
              <w:bottom w:val="single" w:color="B8D8B8" w:sz="1"/>
              <w:right w:val="single" w:color="B8D8B8" w:sz="1"/>
            </w:tcBorders>
            <w:shd w:fill="F0FAF0" w:val="clear"/>
            <w:tcMar>
              <w:top w:type="dxa" w:w="120"/>
              <w:left w:type="dxa" w:w="160"/>
              <w:bottom w:type="dxa" w:w="120"/>
              <w:right w:type="dxa" w:w="10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1A5C38"/>
                <w:sz w:val="19"/>
                <w:szCs w:val="19"/>
              </w:rPr>
              <w:t xml:space="preserve">✅  Fortalezas y oportunidades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Español, cultura similar a México — barrera de entrada mínima para marcas mexicanas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82% urbanización — consumidores concentrados en Bogotá, Medellín, Cali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Clase media en expansión con apetito por marcas internacionales de calidad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Cultura gastronómica sofisticada — comida mexicana tiene alta afinidad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Ecosistema emprendedor vibrante — facilidad para encontrar master franchisees locales</w:t>
            </w:r>
          </w:p>
        </w:tc>
        <w:tc>
          <w:tcPr>
            <w:tcW w:type="dxa" w:w="49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4F4" w:val="clear"/>
            <w:tcMar>
              <w:top w:type="dxa" w:w="120"/>
              <w:left w:type="dxa" w:w="100"/>
              <w:bottom w:type="dxa" w:w="120"/>
              <w:right w:type="dxa" w:w="16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885500"/>
                <w:sz w:val="19"/>
                <w:szCs w:val="19"/>
              </w:rPr>
              <w:t xml:space="preserve">⚠  Consideraciones / Riesgos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Inflación de 8% — requiere revisión anual de precios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Incertidumbre política bajo gobierno Petro — inversión privada cautelosa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Alta desigualdad (Gini 53.9) — mercado dual muy marcado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/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Sistemas de franquicia: ~500 sistemas activos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Foodservice: $25B mercado, CAGR 9% anual</w:t>
            </w:r>
          </w:p>
        </w:tc>
      </w:tr>
    </w:tbl>
    <w:p>
      <w:pPr>
        <w:spacing w:after="20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40"/>
        <w:gridCol w:w="2800"/>
      </w:tblGrid>
      <w:tr>
        <w:tc>
          <w:tcPr>
            <w:tcW w:type="dxa" w:w="7040"/>
            <w:tcBorders>
              <w:top w:val="single" w:color="2E7D52" w:sz="8"/>
              <w:left w:val="single" w:color="2E7D52" w:sz="8"/>
              <w:bottom w:val="single" w:color="1A5C38" w:sz="2"/>
              <w:right w:val="none" w:color="FFFFFF" w:sz="0"/>
            </w:tcBorders>
            <w:shd w:fill="2E7D52" w:val="clear"/>
            <w:tcMar>
              <w:top w:type="dxa" w:w="120"/>
              <w:left w:type="dxa" w:w="220"/>
              <w:bottom w:type="dxa" w:w="120"/>
              <w:right w:type="dxa" w:w="100"/>
            </w:tcMar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32"/>
                <w:szCs w:val="32"/>
              </w:rPr>
              <w:t xml:space="preserve">03  🇨🇱  CHILE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CCEECC"/>
                <w:sz w:val="18"/>
                <w:szCs w:val="18"/>
              </w:rPr>
              <w:t xml:space="preserve">El mayor PIB per cápita de América Latina — consumidor sofisticado y mercado predecible</w:t>
            </w:r>
          </w:p>
        </w:tc>
        <w:tc>
          <w:tcPr>
            <w:tcW w:type="dxa" w:w="2800"/>
            <w:tcBorders>
              <w:top w:val="single" w:color="2E7D52" w:sz="8"/>
              <w:left w:val="none" w:color="FFFFFF" w:sz="0"/>
              <w:bottom w:val="single" w:color="1A5C38" w:sz="2"/>
              <w:right w:val="single" w:color="2E7D52" w:sz="8"/>
            </w:tcBorders>
            <w:shd w:fill="1A5C38" w:val="clear"/>
            <w:tcMar>
              <w:top w:type="dxa" w:w="120"/>
              <w:left w:type="dxa" w:w="100"/>
              <w:bottom w:type="dxa" w:w="120"/>
              <w:right w:type="dxa" w:w="220"/>
            </w:tcMar>
          </w:tcPr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AADDBB"/>
                <w:sz w:val="18"/>
                <w:szCs w:val="18"/>
              </w:rPr>
              <w:t xml:space="preserve">Sudamérica</w:t>
            </w:r>
          </w:p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/>
                <w:bCs/>
                <w:color w:val="C8A951"/>
                <w:sz w:val="20"/>
                <w:szCs w:val="20"/>
              </w:rPr>
              <w:t xml:space="preserve">ENTRADA RECOMENDADA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5"/>
        <w:gridCol w:w="1405"/>
        <w:gridCol w:w="1405"/>
        <w:gridCol w:w="1405"/>
        <w:gridCol w:w="1405"/>
        <w:gridCol w:w="1405"/>
        <w:gridCol w:w="1405"/>
      </w:tblGrid>
      <w:tr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20M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Población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$408B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PIB Nominal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$20,240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PIB/cápita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2.3%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Crecimiento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4.3%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Inflación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88%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Urbanización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36 años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Edad mediana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920"/>
        <w:gridCol w:w="4920"/>
      </w:tblGrid>
      <w:tr>
        <w:tc>
          <w:tcPr>
            <w:tcW w:type="dxa" w:w="4920"/>
            <w:tcBorders>
              <w:top w:val="single" w:color="B8D8B8" w:sz="1"/>
              <w:left w:val="single" w:color="B8D8B8" w:sz="1"/>
              <w:bottom w:val="single" w:color="B8D8B8" w:sz="1"/>
              <w:right w:val="single" w:color="B8D8B8" w:sz="1"/>
            </w:tcBorders>
            <w:shd w:fill="F0FAF0" w:val="clear"/>
            <w:tcMar>
              <w:top w:type="dxa" w:w="120"/>
              <w:left w:type="dxa" w:w="160"/>
              <w:bottom w:type="dxa" w:w="120"/>
              <w:right w:type="dxa" w:w="10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1A5C38"/>
                <w:sz w:val="19"/>
                <w:szCs w:val="19"/>
              </w:rPr>
              <w:t xml:space="preserve">✅  Fortalezas y oportunidades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PIB per cápita más alto de Latinoamérica ($20,240) — consumidor de alto poder adquisitivo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Economía estable, inflación controlada y ambiente legal predecible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88% urbanización — mercado concentrado en Santiago (7M hab.)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Cultura de marca sofisticada — consumidores dispuestos a pagar por autenticidad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Marco regulatorio transparente y baja corrupción — facilidad para hacer negocios</w:t>
            </w:r>
          </w:p>
        </w:tc>
        <w:tc>
          <w:tcPr>
            <w:tcW w:type="dxa" w:w="49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4F4" w:val="clear"/>
            <w:tcMar>
              <w:top w:type="dxa" w:w="120"/>
              <w:left w:type="dxa" w:w="100"/>
              <w:bottom w:type="dxa" w:w="120"/>
              <w:right w:type="dxa" w:w="16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885500"/>
                <w:sz w:val="19"/>
                <w:szCs w:val="19"/>
              </w:rPr>
              <w:t xml:space="preserve">⚠  Consideraciones / Riesgos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Mercado pequeño (20M) — escala limitada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Crecimiento moderado (2.3%) — mercado maduro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Tensiones políticas internas pueden frenar inversión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/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Sistemas de franquicia: ~400 sistemas activos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Foodservice: CAGR 7% anual</w:t>
            </w:r>
          </w:p>
        </w:tc>
      </w:tr>
    </w:tbl>
    <w:p>
      <w:pPr>
        <w:spacing w:after="20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40"/>
        <w:gridCol w:w="2800"/>
      </w:tblGrid>
      <w:tr>
        <w:tc>
          <w:tcPr>
            <w:tcW w:type="dxa" w:w="7040"/>
            <w:tcBorders>
              <w:top w:val="single" w:color="2E7D52" w:sz="8"/>
              <w:left w:val="single" w:color="2E7D52" w:sz="8"/>
              <w:bottom w:val="single" w:color="1A5C38" w:sz="2"/>
              <w:right w:val="none" w:color="FFFFFF" w:sz="0"/>
            </w:tcBorders>
            <w:shd w:fill="2E7D52" w:val="clear"/>
            <w:tcMar>
              <w:top w:type="dxa" w:w="120"/>
              <w:left w:type="dxa" w:w="220"/>
              <w:bottom w:type="dxa" w:w="120"/>
              <w:right w:type="dxa" w:w="100"/>
            </w:tcMar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32"/>
                <w:szCs w:val="32"/>
              </w:rPr>
              <w:t xml:space="preserve">04  🇵🇪  PERÚ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CCEECC"/>
                <w:sz w:val="18"/>
                <w:szCs w:val="18"/>
              </w:rPr>
              <w:t xml:space="preserve">Lima, capital gastronómica de América — apertura total a propuestas culinarias mexicanas</w:t>
            </w:r>
          </w:p>
        </w:tc>
        <w:tc>
          <w:tcPr>
            <w:tcW w:type="dxa" w:w="2800"/>
            <w:tcBorders>
              <w:top w:val="single" w:color="2E7D52" w:sz="8"/>
              <w:left w:val="none" w:color="FFFFFF" w:sz="0"/>
              <w:bottom w:val="single" w:color="1A5C38" w:sz="2"/>
              <w:right w:val="single" w:color="2E7D52" w:sz="8"/>
            </w:tcBorders>
            <w:shd w:fill="1A5C38" w:val="clear"/>
            <w:tcMar>
              <w:top w:type="dxa" w:w="120"/>
              <w:left w:type="dxa" w:w="100"/>
              <w:bottom w:type="dxa" w:w="120"/>
              <w:right w:type="dxa" w:w="220"/>
            </w:tcMar>
          </w:tcPr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AADDBB"/>
                <w:sz w:val="18"/>
                <w:szCs w:val="18"/>
              </w:rPr>
              <w:t xml:space="preserve">Sudamérica</w:t>
            </w:r>
          </w:p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/>
                <w:bCs/>
                <w:color w:val="C8A951"/>
                <w:sz w:val="20"/>
                <w:szCs w:val="20"/>
              </w:rPr>
              <w:t xml:space="preserve">ENTRADA RECOMENDADA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5"/>
        <w:gridCol w:w="1405"/>
        <w:gridCol w:w="1405"/>
        <w:gridCol w:w="1405"/>
        <w:gridCol w:w="1405"/>
        <w:gridCol w:w="1405"/>
        <w:gridCol w:w="1405"/>
      </w:tblGrid>
      <w:tr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34M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Población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$381B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PIB Nominal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$10,960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PIB/cápita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3.4%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Crecimiento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1.9%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Inflación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79%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Urbanización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29 años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Edad mediana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920"/>
        <w:gridCol w:w="4920"/>
      </w:tblGrid>
      <w:tr>
        <w:tc>
          <w:tcPr>
            <w:tcW w:type="dxa" w:w="4920"/>
            <w:tcBorders>
              <w:top w:val="single" w:color="B8D8B8" w:sz="1"/>
              <w:left w:val="single" w:color="B8D8B8" w:sz="1"/>
              <w:bottom w:val="single" w:color="B8D8B8" w:sz="1"/>
              <w:right w:val="single" w:color="B8D8B8" w:sz="1"/>
            </w:tcBorders>
            <w:shd w:fill="F0FAF0" w:val="clear"/>
            <w:tcMar>
              <w:top w:type="dxa" w:w="120"/>
              <w:left w:type="dxa" w:w="160"/>
              <w:bottom w:type="dxa" w:w="120"/>
              <w:right w:type="dxa" w:w="10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1A5C38"/>
                <w:sz w:val="19"/>
                <w:szCs w:val="19"/>
              </w:rPr>
              <w:t xml:space="preserve">✅  Fortalezas y oportunidades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Inflación de solo 1.9% — la más baja de la región — ideal para contratos de franquicia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Lima reconocida como capital gastronómica mundial — apertura extrema a nuevas cocinas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3.4% de crecimiento sostenido con macro sólida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Clase media creciente con fuerte cultura de salida a restaurantes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Turismo gastronómico — miles de consumidores premium de alto gasto</w:t>
            </w:r>
          </w:p>
        </w:tc>
        <w:tc>
          <w:tcPr>
            <w:tcW w:type="dxa" w:w="49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4F4" w:val="clear"/>
            <w:tcMar>
              <w:top w:type="dxa" w:w="120"/>
              <w:left w:type="dxa" w:w="100"/>
              <w:bottom w:type="dxa" w:w="120"/>
              <w:right w:type="dxa" w:w="16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885500"/>
                <w:sz w:val="19"/>
                <w:szCs w:val="19"/>
              </w:rPr>
              <w:t xml:space="preserve">⚠  Consideraciones / Riesgos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Volatilidad política crónica — riesgo institucional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PIB per cápita medio — mercado de precio accesible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Alta informalidad fuera de Lima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/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Sistemas de franquicia: ~350 sistemas activos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Foodservice: CAGR 10% anual</w:t>
            </w:r>
          </w:p>
        </w:tc>
      </w:tr>
    </w:tbl>
    <w:p>
      <w:pPr>
        <w:spacing w:after="20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40"/>
        <w:gridCol w:w="2800"/>
      </w:tblGrid>
      <w:tr>
        <w:tc>
          <w:tcPr>
            <w:tcW w:type="dxa" w:w="7040"/>
            <w:tcBorders>
              <w:top w:val="single" w:color="2E7D52" w:sz="8"/>
              <w:left w:val="single" w:color="2E7D52" w:sz="8"/>
              <w:bottom w:val="single" w:color="1A5C38" w:sz="2"/>
              <w:right w:val="none" w:color="FFFFFF" w:sz="0"/>
            </w:tcBorders>
            <w:shd w:fill="2E7D52" w:val="clear"/>
            <w:tcMar>
              <w:top w:type="dxa" w:w="120"/>
              <w:left w:type="dxa" w:w="220"/>
              <w:bottom w:type="dxa" w:w="120"/>
              <w:right w:type="dxa" w:w="100"/>
            </w:tcMar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32"/>
                <w:szCs w:val="32"/>
              </w:rPr>
              <w:t xml:space="preserve">05  🇬🇹  GUATEMALA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CCEECC"/>
                <w:sz w:val="18"/>
                <w:szCs w:val="18"/>
              </w:rPr>
              <w:t xml:space="preserve">La mayor economía de Centroamérica — clase media urbana con remesas que impulsan consumo</w:t>
            </w:r>
          </w:p>
        </w:tc>
        <w:tc>
          <w:tcPr>
            <w:tcW w:type="dxa" w:w="2800"/>
            <w:tcBorders>
              <w:top w:val="single" w:color="2E7D52" w:sz="8"/>
              <w:left w:val="none" w:color="FFFFFF" w:sz="0"/>
              <w:bottom w:val="single" w:color="1A5C38" w:sz="2"/>
              <w:right w:val="single" w:color="2E7D52" w:sz="8"/>
            </w:tcBorders>
            <w:shd w:fill="1A5C38" w:val="clear"/>
            <w:tcMar>
              <w:top w:type="dxa" w:w="120"/>
              <w:left w:type="dxa" w:w="100"/>
              <w:bottom w:type="dxa" w:w="120"/>
              <w:right w:type="dxa" w:w="220"/>
            </w:tcMar>
          </w:tcPr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AADDBB"/>
                <w:sz w:val="18"/>
                <w:szCs w:val="18"/>
              </w:rPr>
              <w:t xml:space="preserve">Centroamérica</w:t>
            </w:r>
          </w:p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/>
                <w:bCs/>
                <w:color w:val="C8A951"/>
                <w:sz w:val="20"/>
                <w:szCs w:val="20"/>
              </w:rPr>
              <w:t xml:space="preserve">ENTRADA RECOMENDADA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5"/>
        <w:gridCol w:w="1405"/>
        <w:gridCol w:w="1405"/>
        <w:gridCol w:w="1405"/>
        <w:gridCol w:w="1405"/>
        <w:gridCol w:w="1405"/>
        <w:gridCol w:w="1405"/>
      </w:tblGrid>
      <w:tr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17M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Población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$121B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PIB Nominal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$5,678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PIB/cápita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3.5%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Crecimiento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5.0%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Inflación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52%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Urbanización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22 años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Edad mediana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920"/>
        <w:gridCol w:w="4920"/>
      </w:tblGrid>
      <w:tr>
        <w:tc>
          <w:tcPr>
            <w:tcW w:type="dxa" w:w="4920"/>
            <w:tcBorders>
              <w:top w:val="single" w:color="B8D8B8" w:sz="1"/>
              <w:left w:val="single" w:color="B8D8B8" w:sz="1"/>
              <w:bottom w:val="single" w:color="B8D8B8" w:sz="1"/>
              <w:right w:val="single" w:color="B8D8B8" w:sz="1"/>
            </w:tcBorders>
            <w:shd w:fill="F0FAF0" w:val="clear"/>
            <w:tcMar>
              <w:top w:type="dxa" w:w="120"/>
              <w:left w:type="dxa" w:w="160"/>
              <w:bottom w:type="dxa" w:w="120"/>
              <w:right w:type="dxa" w:w="10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1A5C38"/>
                <w:sz w:val="19"/>
                <w:szCs w:val="19"/>
              </w:rPr>
              <w:t xml:space="preserve">✅  Fortalezas y oportunidades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Mayor economía de Centroamérica — hub regional para la zona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Remesas de EUA ($20B+ en 2024) impulsan consumo de clase media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Ciudad de Guatemala con infraestructura comercial sólida (malls, centros de consumo)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Afinidad cultural y gastronómica con México — barrera mínima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Crecimiento estable del 3.5% con inflación moderada</w:t>
            </w:r>
          </w:p>
        </w:tc>
        <w:tc>
          <w:tcPr>
            <w:tcW w:type="dxa" w:w="49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4F4" w:val="clear"/>
            <w:tcMar>
              <w:top w:type="dxa" w:w="120"/>
              <w:left w:type="dxa" w:w="100"/>
              <w:bottom w:type="dxa" w:w="120"/>
              <w:right w:type="dxa" w:w="16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885500"/>
                <w:sz w:val="19"/>
                <w:szCs w:val="19"/>
              </w:rPr>
              <w:t xml:space="preserve">⚠  Consideraciones / Riesgos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Alta desigualdad y pobreza rural (56%) — mercado urbano concentrado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Burocracia e informalidad elevada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Inseguridad en zonas fuera de la capital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/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Sistemas de franquicia: ~100 sistemas activos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Foodservice: CAGR 8% anual</w:t>
            </w:r>
          </w:p>
        </w:tc>
      </w:tr>
    </w:tbl>
    <w:p>
      <w:pPr>
        <w:spacing w:after="20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40"/>
        <w:gridCol w:w="2800"/>
      </w:tblGrid>
      <w:tr>
        <w:tc>
          <w:tcPr>
            <w:tcW w:type="dxa" w:w="7040"/>
            <w:tcBorders>
              <w:top w:val="single" w:color="2E7D52" w:sz="8"/>
              <w:left w:val="single" w:color="2E7D52" w:sz="8"/>
              <w:bottom w:val="single" w:color="1A5C38" w:sz="2"/>
              <w:right w:val="none" w:color="FFFFFF" w:sz="0"/>
            </w:tcBorders>
            <w:shd w:fill="2E7D52" w:val="clear"/>
            <w:tcMar>
              <w:top w:type="dxa" w:w="120"/>
              <w:left w:type="dxa" w:w="220"/>
              <w:bottom w:type="dxa" w:w="120"/>
              <w:right w:type="dxa" w:w="100"/>
            </w:tcMar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32"/>
                <w:szCs w:val="32"/>
              </w:rPr>
              <w:t xml:space="preserve">06  🇵🇦  PANAMÁ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CCEECC"/>
                <w:sz w:val="18"/>
                <w:szCs w:val="18"/>
              </w:rPr>
              <w:t xml:space="preserve">Hub financiero y logístico de las Américas — consumidor cosmopolita con USD como moneda</w:t>
            </w:r>
          </w:p>
        </w:tc>
        <w:tc>
          <w:tcPr>
            <w:tcW w:type="dxa" w:w="2800"/>
            <w:tcBorders>
              <w:top w:val="single" w:color="2E7D52" w:sz="8"/>
              <w:left w:val="none" w:color="FFFFFF" w:sz="0"/>
              <w:bottom w:val="single" w:color="1A5C38" w:sz="2"/>
              <w:right w:val="single" w:color="2E7D52" w:sz="8"/>
            </w:tcBorders>
            <w:shd w:fill="1A5C38" w:val="clear"/>
            <w:tcMar>
              <w:top w:type="dxa" w:w="120"/>
              <w:left w:type="dxa" w:w="100"/>
              <w:bottom w:type="dxa" w:w="120"/>
              <w:right w:type="dxa" w:w="220"/>
            </w:tcMar>
          </w:tcPr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AADDBB"/>
                <w:sz w:val="18"/>
                <w:szCs w:val="18"/>
              </w:rPr>
              <w:t xml:space="preserve">Centroamérica</w:t>
            </w:r>
          </w:p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/>
                <w:bCs/>
                <w:color w:val="C8A951"/>
                <w:sz w:val="20"/>
                <w:szCs w:val="20"/>
              </w:rPr>
              <w:t xml:space="preserve">ENTRADA RECOMENDADA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5"/>
        <w:gridCol w:w="1405"/>
        <w:gridCol w:w="1405"/>
        <w:gridCol w:w="1405"/>
        <w:gridCol w:w="1405"/>
        <w:gridCol w:w="1405"/>
        <w:gridCol w:w="1405"/>
      </w:tblGrid>
      <w:tr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4.4M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Población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$92B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PIB Nominal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$20,080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PIB/cápita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4.0%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Crecimiento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2.5%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Inflación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69%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Urbanización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30 años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Edad mediana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920"/>
        <w:gridCol w:w="4920"/>
      </w:tblGrid>
      <w:tr>
        <w:tc>
          <w:tcPr>
            <w:tcW w:type="dxa" w:w="4920"/>
            <w:tcBorders>
              <w:top w:val="single" w:color="B8D8B8" w:sz="1"/>
              <w:left w:val="single" w:color="B8D8B8" w:sz="1"/>
              <w:bottom w:val="single" w:color="B8D8B8" w:sz="1"/>
              <w:right w:val="single" w:color="B8D8B8" w:sz="1"/>
            </w:tcBorders>
            <w:shd w:fill="F0FAF0" w:val="clear"/>
            <w:tcMar>
              <w:top w:type="dxa" w:w="120"/>
              <w:left w:type="dxa" w:w="160"/>
              <w:bottom w:type="dxa" w:w="120"/>
              <w:right w:type="dxa" w:w="10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1A5C38"/>
                <w:sz w:val="19"/>
                <w:szCs w:val="19"/>
              </w:rPr>
              <w:t xml:space="preserve">✅  Fortalezas y oportunidades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USD como moneda oficial — sin riesgo cambiario para franquicias mexicanas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PIB per cápita de $20,080 — uno de los más altos de Centroamérica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Hub logístico y financiero — sede regional de multinacionales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Cultura cosmopolita y apertura total a marcas internacionales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Canal de Panamá genera flujo constante de ejecutivos y turistas de alto gasto</w:t>
            </w:r>
          </w:p>
        </w:tc>
        <w:tc>
          <w:tcPr>
            <w:tcW w:type="dxa" w:w="49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4F4" w:val="clear"/>
            <w:tcMar>
              <w:top w:type="dxa" w:w="120"/>
              <w:left w:type="dxa" w:w="100"/>
              <w:bottom w:type="dxa" w:w="120"/>
              <w:right w:type="dxa" w:w="16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885500"/>
                <w:sz w:val="19"/>
                <w:szCs w:val="19"/>
              </w:rPr>
              <w:t xml:space="preserve">⚠  Consideraciones / Riesgos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Mercado pequeño (4.4M) — escala muy limitada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Alta competencia de marcas internacionales establecidas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/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Sistemas de franquicia: ~150 sistemas activos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Foodservice: CAGR 9% anual</w:t>
            </w:r>
          </w:p>
        </w:tc>
      </w:tr>
    </w:tbl>
    <w:p>
      <w:pPr>
        <w:spacing w:after="20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40"/>
        <w:gridCol w:w="2800"/>
      </w:tblGrid>
      <w:tr>
        <w:tc>
          <w:tcPr>
            <w:tcW w:type="dxa" w:w="7040"/>
            <w:tcBorders>
              <w:top w:val="single" w:color="2E7D52" w:sz="8"/>
              <w:left w:val="single" w:color="2E7D52" w:sz="8"/>
              <w:bottom w:val="single" w:color="1A5C38" w:sz="2"/>
              <w:right w:val="none" w:color="FFFFFF" w:sz="0"/>
            </w:tcBorders>
            <w:shd w:fill="2E7D52" w:val="clear"/>
            <w:tcMar>
              <w:top w:type="dxa" w:w="120"/>
              <w:left w:type="dxa" w:w="220"/>
              <w:bottom w:type="dxa" w:w="120"/>
              <w:right w:type="dxa" w:w="100"/>
            </w:tcMar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32"/>
                <w:szCs w:val="32"/>
              </w:rPr>
              <w:t xml:space="preserve">07  🇩🇴  REP. DOMINICANA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CCEECC"/>
                <w:sz w:val="18"/>
                <w:szCs w:val="18"/>
              </w:rPr>
              <w:t xml:space="preserve">Economía de mayor crecimiento del Caribe — turismo masivo y clase media emergente</w:t>
            </w:r>
          </w:p>
        </w:tc>
        <w:tc>
          <w:tcPr>
            <w:tcW w:type="dxa" w:w="2800"/>
            <w:tcBorders>
              <w:top w:val="single" w:color="2E7D52" w:sz="8"/>
              <w:left w:val="none" w:color="FFFFFF" w:sz="0"/>
              <w:bottom w:val="single" w:color="1A5C38" w:sz="2"/>
              <w:right w:val="single" w:color="2E7D52" w:sz="8"/>
            </w:tcBorders>
            <w:shd w:fill="1A5C38" w:val="clear"/>
            <w:tcMar>
              <w:top w:type="dxa" w:w="120"/>
              <w:left w:type="dxa" w:w="100"/>
              <w:bottom w:type="dxa" w:w="120"/>
              <w:right w:type="dxa" w:w="220"/>
            </w:tcMar>
          </w:tcPr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AADDBB"/>
                <w:sz w:val="18"/>
                <w:szCs w:val="18"/>
              </w:rPr>
              <w:t xml:space="preserve">El Caribe</w:t>
            </w:r>
          </w:p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/>
                <w:bCs/>
                <w:color w:val="C8A951"/>
                <w:sz w:val="20"/>
                <w:szCs w:val="20"/>
              </w:rPr>
              <w:t xml:space="preserve">ENTRADA RECOMENDADA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5"/>
        <w:gridCol w:w="1405"/>
        <w:gridCol w:w="1405"/>
        <w:gridCol w:w="1405"/>
        <w:gridCol w:w="1405"/>
        <w:gridCol w:w="1405"/>
        <w:gridCol w:w="1405"/>
      </w:tblGrid>
      <w:tr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11M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Población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$128B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PIB Nominal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$11,740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PIB/cápita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5.5%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Crecimiento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3.5%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Inflación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82%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Urbanización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29 años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Edad mediana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920"/>
        <w:gridCol w:w="4920"/>
      </w:tblGrid>
      <w:tr>
        <w:tc>
          <w:tcPr>
            <w:tcW w:type="dxa" w:w="4920"/>
            <w:tcBorders>
              <w:top w:val="single" w:color="B8D8B8" w:sz="1"/>
              <w:left w:val="single" w:color="B8D8B8" w:sz="1"/>
              <w:bottom w:val="single" w:color="B8D8B8" w:sz="1"/>
              <w:right w:val="single" w:color="B8D8B8" w:sz="1"/>
            </w:tcBorders>
            <w:shd w:fill="F0FAF0" w:val="clear"/>
            <w:tcMar>
              <w:top w:type="dxa" w:w="120"/>
              <w:left w:type="dxa" w:w="160"/>
              <w:bottom w:type="dxa" w:w="120"/>
              <w:right w:type="dxa" w:w="10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1A5C38"/>
                <w:sz w:val="19"/>
                <w:szCs w:val="19"/>
              </w:rPr>
              <w:t xml:space="preserve">✅  Fortalezas y oportunidades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5.5% de crecimiento — el más alto del Caribe de manera consistente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Turismo masivo: 10M+ turistas/año generan demanda de consumidores premium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82% urbanización con Santo Domingo como metrópoli de consumo activa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Sector hotelero demanda franquicias de F&amp;B con calidad internacional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Afinidad cultural con México — español, música, cultura compartida</w:t>
            </w:r>
          </w:p>
        </w:tc>
        <w:tc>
          <w:tcPr>
            <w:tcW w:type="dxa" w:w="49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4F4" w:val="clear"/>
            <w:tcMar>
              <w:top w:type="dxa" w:w="120"/>
              <w:left w:type="dxa" w:w="100"/>
              <w:bottom w:type="dxa" w:w="120"/>
              <w:right w:type="dxa" w:w="16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885500"/>
                <w:sz w:val="19"/>
                <w:szCs w:val="19"/>
              </w:rPr>
              <w:t xml:space="preserve">⚠  Consideraciones / Riesgos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Mercado mediano (11M) con desigualdad alta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Dependencia de turismo — mercado estacional parcialmente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/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Sistemas de franquicia: ~120 sistemas activos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Foodservice: CAGR 11% anual</w:t>
            </w:r>
          </w:p>
        </w:tc>
      </w:tr>
    </w:tbl>
    <w:p>
      <w:pPr>
        <w:spacing w:after="20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40"/>
        <w:gridCol w:w="2800"/>
      </w:tblGrid>
      <w:tr>
        <w:tc>
          <w:tcPr>
            <w:tcW w:type="dxa" w:w="7040"/>
            <w:tcBorders>
              <w:top w:val="single" w:color="2E7D52" w:sz="8"/>
              <w:left w:val="single" w:color="2E7D52" w:sz="8"/>
              <w:bottom w:val="single" w:color="1A5C38" w:sz="2"/>
              <w:right w:val="none" w:color="FFFFFF" w:sz="0"/>
            </w:tcBorders>
            <w:shd w:fill="2E7D52" w:val="clear"/>
            <w:tcMar>
              <w:top w:type="dxa" w:w="120"/>
              <w:left w:type="dxa" w:w="220"/>
              <w:bottom w:type="dxa" w:w="120"/>
              <w:right w:type="dxa" w:w="100"/>
            </w:tcMar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32"/>
                <w:szCs w:val="32"/>
              </w:rPr>
              <w:t xml:space="preserve">08  🇦🇷  ARGENTINA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CCEECC"/>
                <w:sz w:val="18"/>
                <w:szCs w:val="18"/>
              </w:rPr>
              <w:t xml:space="preserve">Clase media altamente educada y cultura de cafe/restaurantes — en recuperación acelerada</w:t>
            </w:r>
          </w:p>
        </w:tc>
        <w:tc>
          <w:tcPr>
            <w:tcW w:type="dxa" w:w="2800"/>
            <w:tcBorders>
              <w:top w:val="single" w:color="2E7D52" w:sz="8"/>
              <w:left w:val="none" w:color="FFFFFF" w:sz="0"/>
              <w:bottom w:val="single" w:color="1A5C38" w:sz="2"/>
              <w:right w:val="single" w:color="2E7D52" w:sz="8"/>
            </w:tcBorders>
            <w:shd w:fill="1A5C38" w:val="clear"/>
            <w:tcMar>
              <w:top w:type="dxa" w:w="120"/>
              <w:left w:type="dxa" w:w="100"/>
              <w:bottom w:type="dxa" w:w="120"/>
              <w:right w:type="dxa" w:w="220"/>
            </w:tcMar>
          </w:tcPr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AADDBB"/>
                <w:sz w:val="18"/>
                <w:szCs w:val="18"/>
              </w:rPr>
              <w:t xml:space="preserve">Sudamérica</w:t>
            </w:r>
          </w:p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/>
                <w:bCs/>
                <w:color w:val="C8A951"/>
                <w:sz w:val="20"/>
                <w:szCs w:val="20"/>
              </w:rPr>
              <w:t xml:space="preserve">ENTRADA CON CAUTELA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5"/>
        <w:gridCol w:w="1405"/>
        <w:gridCol w:w="1405"/>
        <w:gridCol w:w="1405"/>
        <w:gridCol w:w="1405"/>
        <w:gridCol w:w="1405"/>
        <w:gridCol w:w="1405"/>
      </w:tblGrid>
      <w:tr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46M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Población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$684B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PIB Nominal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$14,360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PIB/cápita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5.0%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Crecimiento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32%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Inflación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93%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Urbanización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32 años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Edad mediana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920"/>
        <w:gridCol w:w="4920"/>
      </w:tblGrid>
      <w:tr>
        <w:tc>
          <w:tcPr>
            <w:tcW w:type="dxa" w:w="4920"/>
            <w:tcBorders>
              <w:top w:val="single" w:color="B8D8B8" w:sz="1"/>
              <w:left w:val="single" w:color="B8D8B8" w:sz="1"/>
              <w:bottom w:val="single" w:color="B8D8B8" w:sz="1"/>
              <w:right w:val="single" w:color="B8D8B8" w:sz="1"/>
            </w:tcBorders>
            <w:shd w:fill="F0FAF0" w:val="clear"/>
            <w:tcMar>
              <w:top w:type="dxa" w:w="120"/>
              <w:left w:type="dxa" w:w="160"/>
              <w:bottom w:type="dxa" w:w="120"/>
              <w:right w:type="dxa" w:w="10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1A5C38"/>
                <w:sz w:val="19"/>
                <w:szCs w:val="19"/>
              </w:rPr>
              <w:t xml:space="preserve">✅  Fortalezas y oportunidades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93% urbanización — mercado casi exclusivamente urbano y sofisticado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Clase media educada con fuerte cultura de restaurantes y cafés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5% de crecimiento en 2025 — recuperación notable bajo Milei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Buenos Aires: una de las ciudades gastronómicas más vibrantes de América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Sistema de franquicias local activo — know-how para recibir marcas extranjeras</w:t>
            </w:r>
          </w:p>
        </w:tc>
        <w:tc>
          <w:tcPr>
            <w:tcW w:type="dxa" w:w="49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4F4" w:val="clear"/>
            <w:tcMar>
              <w:top w:type="dxa" w:w="120"/>
              <w:left w:type="dxa" w:w="100"/>
              <w:bottom w:type="dxa" w:w="120"/>
              <w:right w:type="dxa" w:w="16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885500"/>
                <w:sz w:val="19"/>
                <w:szCs w:val="19"/>
              </w:rPr>
              <w:t xml:space="preserve">⚠  Consideraciones / Riesgos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Inflación del 32% — estructuración en USD es esencial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Controles cambiarios y riesgo regulatorio históricamente alto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Crisis cíclicas recurrentes limitan planificación a largo plazo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/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Sistemas de franquicia: ~1,500 sistemas activos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Foodservice: Gran cultura gastronómica</w:t>
            </w:r>
          </w:p>
        </w:tc>
      </w:tr>
    </w:tbl>
    <w:p>
      <w:pPr>
        <w:spacing w:after="20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40"/>
        <w:gridCol w:w="2800"/>
      </w:tblGrid>
      <w:tr>
        <w:tc>
          <w:tcPr>
            <w:tcW w:type="dxa" w:w="7040"/>
            <w:tcBorders>
              <w:top w:val="single" w:color="2E7D52" w:sz="8"/>
              <w:left w:val="single" w:color="2E7D52" w:sz="8"/>
              <w:bottom w:val="single" w:color="1A5C38" w:sz="2"/>
              <w:right w:val="none" w:color="FFFFFF" w:sz="0"/>
            </w:tcBorders>
            <w:shd w:fill="2E7D52" w:val="clear"/>
            <w:tcMar>
              <w:top w:type="dxa" w:w="120"/>
              <w:left w:type="dxa" w:w="220"/>
              <w:bottom w:type="dxa" w:w="120"/>
              <w:right w:type="dxa" w:w="100"/>
            </w:tcMar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32"/>
                <w:szCs w:val="32"/>
              </w:rPr>
              <w:t xml:space="preserve">09  🇨🇷  COSTA RICA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CCEECC"/>
                <w:sz w:val="18"/>
                <w:szCs w:val="18"/>
              </w:rPr>
              <w:t xml:space="preserve">La Suiza de Centroamérica — estabilidad, clase media sólida y turismo premium</w:t>
            </w:r>
          </w:p>
        </w:tc>
        <w:tc>
          <w:tcPr>
            <w:tcW w:type="dxa" w:w="2800"/>
            <w:tcBorders>
              <w:top w:val="single" w:color="2E7D52" w:sz="8"/>
              <w:left w:val="none" w:color="FFFFFF" w:sz="0"/>
              <w:bottom w:val="single" w:color="1A5C38" w:sz="2"/>
              <w:right w:val="single" w:color="2E7D52" w:sz="8"/>
            </w:tcBorders>
            <w:shd w:fill="1A5C38" w:val="clear"/>
            <w:tcMar>
              <w:top w:type="dxa" w:w="120"/>
              <w:left w:type="dxa" w:w="100"/>
              <w:bottom w:type="dxa" w:w="120"/>
              <w:right w:type="dxa" w:w="220"/>
            </w:tcMar>
          </w:tcPr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AADDBB"/>
                <w:sz w:val="18"/>
                <w:szCs w:val="18"/>
              </w:rPr>
              <w:t xml:space="preserve">Centroamérica</w:t>
            </w:r>
          </w:p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/>
                <w:bCs/>
                <w:color w:val="C8A951"/>
                <w:sz w:val="20"/>
                <w:szCs w:val="20"/>
              </w:rPr>
              <w:t xml:space="preserve">ENTRADA RECOMENDADA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5"/>
        <w:gridCol w:w="1405"/>
        <w:gridCol w:w="1405"/>
        <w:gridCol w:w="1405"/>
        <w:gridCol w:w="1405"/>
        <w:gridCol w:w="1405"/>
        <w:gridCol w:w="1405"/>
      </w:tblGrid>
      <w:tr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5.2M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Población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$103B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PIB Nominal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$19,100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PIB/cápita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4.5%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Crecimiento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1.5%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Inflación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80%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Urbanización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33 años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Edad mediana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920"/>
        <w:gridCol w:w="4920"/>
      </w:tblGrid>
      <w:tr>
        <w:tc>
          <w:tcPr>
            <w:tcW w:type="dxa" w:w="4920"/>
            <w:tcBorders>
              <w:top w:val="single" w:color="B8D8B8" w:sz="1"/>
              <w:left w:val="single" w:color="B8D8B8" w:sz="1"/>
              <w:bottom w:val="single" w:color="B8D8B8" w:sz="1"/>
              <w:right w:val="single" w:color="B8D8B8" w:sz="1"/>
            </w:tcBorders>
            <w:shd w:fill="F0FAF0" w:val="clear"/>
            <w:tcMar>
              <w:top w:type="dxa" w:w="120"/>
              <w:left w:type="dxa" w:w="160"/>
              <w:bottom w:type="dxa" w:w="120"/>
              <w:right w:type="dxa" w:w="10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1A5C38"/>
                <w:sz w:val="19"/>
                <w:szCs w:val="19"/>
              </w:rPr>
              <w:t xml:space="preserve">✅  Fortalezas y oportunidades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PIB per cápita de $19,100 — el más alto de Centroamérica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Inflación de 1.5% — la más baja de la región centroamericana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Estabilidad política excepcional en la región — democracia consolidada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Turismo ecológico de alto valor — consumidores de poder adquisitivo elevado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Hubs de tecnología (Intel, Amazon) con clase media profesional muy activa</w:t>
            </w:r>
          </w:p>
        </w:tc>
        <w:tc>
          <w:tcPr>
            <w:tcW w:type="dxa" w:w="49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4F4" w:val="clear"/>
            <w:tcMar>
              <w:top w:type="dxa" w:w="120"/>
              <w:left w:type="dxa" w:w="100"/>
              <w:bottom w:type="dxa" w:w="120"/>
              <w:right w:type="dxa" w:w="16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885500"/>
                <w:sz w:val="19"/>
                <w:szCs w:val="19"/>
              </w:rPr>
              <w:t xml:space="preserve">⚠  Consideraciones / Riesgos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Mercado pequeño (5.2M)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Competencia intensa con marcas norteamericanas ya establecidas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/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Sistemas de franquicia: ~100 sistemas activos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Foodservice: CAGR 8% anual</w:t>
            </w:r>
          </w:p>
        </w:tc>
      </w:tr>
    </w:tbl>
    <w:p>
      <w:pPr>
        <w:spacing w:after="20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40"/>
        <w:gridCol w:w="2800"/>
      </w:tblGrid>
      <w:tr>
        <w:tc>
          <w:tcPr>
            <w:tcW w:type="dxa" w:w="7040"/>
            <w:tcBorders>
              <w:top w:val="single" w:color="2E7D52" w:sz="8"/>
              <w:left w:val="single" w:color="2E7D52" w:sz="8"/>
              <w:bottom w:val="single" w:color="1A5C38" w:sz="2"/>
              <w:right w:val="none" w:color="FFFFFF" w:sz="0"/>
            </w:tcBorders>
            <w:shd w:fill="2E7D52" w:val="clear"/>
            <w:tcMar>
              <w:top w:type="dxa" w:w="120"/>
              <w:left w:type="dxa" w:w="220"/>
              <w:bottom w:type="dxa" w:w="120"/>
              <w:right w:type="dxa" w:w="100"/>
            </w:tcMar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32"/>
                <w:szCs w:val="32"/>
              </w:rPr>
              <w:t xml:space="preserve">10  🇺🇾  URUGUAY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CCEECC"/>
                <w:sz w:val="18"/>
                <w:szCs w:val="18"/>
              </w:rPr>
              <w:t xml:space="preserve">El país más igualitario de América Latina — clase media sólida y ambiente de negocios estable</w:t>
            </w:r>
          </w:p>
        </w:tc>
        <w:tc>
          <w:tcPr>
            <w:tcW w:type="dxa" w:w="2800"/>
            <w:tcBorders>
              <w:top w:val="single" w:color="2E7D52" w:sz="8"/>
              <w:left w:val="none" w:color="FFFFFF" w:sz="0"/>
              <w:bottom w:val="single" w:color="1A5C38" w:sz="2"/>
              <w:right w:val="single" w:color="2E7D52" w:sz="8"/>
            </w:tcBorders>
            <w:shd w:fill="1A5C38" w:val="clear"/>
            <w:tcMar>
              <w:top w:type="dxa" w:w="120"/>
              <w:left w:type="dxa" w:w="100"/>
              <w:bottom w:type="dxa" w:w="120"/>
              <w:right w:type="dxa" w:w="220"/>
            </w:tcMar>
          </w:tcPr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AADDBB"/>
                <w:sz w:val="18"/>
                <w:szCs w:val="18"/>
              </w:rPr>
              <w:t xml:space="preserve">Sudamérica</w:t>
            </w:r>
          </w:p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/>
                <w:bCs/>
                <w:color w:val="C8A951"/>
                <w:sz w:val="20"/>
                <w:szCs w:val="20"/>
              </w:rPr>
              <w:t xml:space="preserve">HUB REGIONAL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5"/>
        <w:gridCol w:w="1405"/>
        <w:gridCol w:w="1405"/>
        <w:gridCol w:w="1405"/>
        <w:gridCol w:w="1405"/>
        <w:gridCol w:w="1405"/>
        <w:gridCol w:w="1405"/>
      </w:tblGrid>
      <w:tr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3.6M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Población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$80B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PIB Nominal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$22,069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PIB/cápita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3.0%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Crecimiento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5.5%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Inflación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96%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Urbanización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36 años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Edad mediana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920"/>
        <w:gridCol w:w="4920"/>
      </w:tblGrid>
      <w:tr>
        <w:tc>
          <w:tcPr>
            <w:tcW w:type="dxa" w:w="4920"/>
            <w:tcBorders>
              <w:top w:val="single" w:color="B8D8B8" w:sz="1"/>
              <w:left w:val="single" w:color="B8D8B8" w:sz="1"/>
              <w:bottom w:val="single" w:color="B8D8B8" w:sz="1"/>
              <w:right w:val="single" w:color="B8D8B8" w:sz="1"/>
            </w:tcBorders>
            <w:shd w:fill="F0FAF0" w:val="clear"/>
            <w:tcMar>
              <w:top w:type="dxa" w:w="120"/>
              <w:left w:type="dxa" w:w="160"/>
              <w:bottom w:type="dxa" w:w="120"/>
              <w:right w:type="dxa" w:w="10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1A5C38"/>
                <w:sz w:val="19"/>
                <w:szCs w:val="19"/>
              </w:rPr>
              <w:t xml:space="preserve">✅  Fortalezas y oportunidades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96% urbanización — la más alta de América Latina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PIB per cápita de $22,069 — clase media con alto poder adquisitivo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Menor corrupción y mayor estabilidad institucional de la región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Montevideo con cultura gastronómica sofisticada y apertura a marcas nuevas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Plataforma de acceso al Mercosur (Brasil, Argentina)</w:t>
            </w:r>
          </w:p>
        </w:tc>
        <w:tc>
          <w:tcPr>
            <w:tcW w:type="dxa" w:w="49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4F4" w:val="clear"/>
            <w:tcMar>
              <w:top w:type="dxa" w:w="120"/>
              <w:left w:type="dxa" w:w="100"/>
              <w:bottom w:type="dxa" w:w="120"/>
              <w:right w:type="dxa" w:w="16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885500"/>
                <w:sz w:val="19"/>
                <w:szCs w:val="19"/>
              </w:rPr>
              <w:t xml:space="preserve">⚠  Consideraciones / Riesgos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Mercado muy pequeño (3.6M) — escala mínima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Mercado maduro y competido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/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Sistemas de franquicia: ~80 sistemas activos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Foodservice: CAGR 6% anual</w:t>
            </w:r>
          </w:p>
        </w:tc>
      </w:tr>
    </w:tbl>
    <w:p>
      <w:pPr>
        <w:spacing w:after="20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40"/>
        <w:gridCol w:w="2800"/>
      </w:tblGrid>
      <w:tr>
        <w:tc>
          <w:tcPr>
            <w:tcW w:type="dxa" w:w="7040"/>
            <w:tcBorders>
              <w:top w:val="single" w:color="2E7D52" w:sz="8"/>
              <w:left w:val="single" w:color="2E7D52" w:sz="8"/>
              <w:bottom w:val="single" w:color="1A5C38" w:sz="2"/>
              <w:right w:val="none" w:color="FFFFFF" w:sz="0"/>
            </w:tcBorders>
            <w:shd w:fill="2E7D52" w:val="clear"/>
            <w:tcMar>
              <w:top w:type="dxa" w:w="120"/>
              <w:left w:type="dxa" w:w="220"/>
              <w:bottom w:type="dxa" w:w="120"/>
              <w:right w:type="dxa" w:w="100"/>
            </w:tcMar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32"/>
                <w:szCs w:val="32"/>
              </w:rPr>
              <w:t xml:space="preserve">11  🇸🇻  EL SALVADOR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CCEECC"/>
                <w:sz w:val="18"/>
                <w:szCs w:val="18"/>
              </w:rPr>
              <w:t xml:space="preserve">Economía dolarizada en modernización — Bitcoin y remesas transformando el consumo</w:t>
            </w:r>
          </w:p>
        </w:tc>
        <w:tc>
          <w:tcPr>
            <w:tcW w:type="dxa" w:w="2800"/>
            <w:tcBorders>
              <w:top w:val="single" w:color="2E7D52" w:sz="8"/>
              <w:left w:val="none" w:color="FFFFFF" w:sz="0"/>
              <w:bottom w:val="single" w:color="1A5C38" w:sz="2"/>
              <w:right w:val="single" w:color="2E7D52" w:sz="8"/>
            </w:tcBorders>
            <w:shd w:fill="1A5C38" w:val="clear"/>
            <w:tcMar>
              <w:top w:type="dxa" w:w="120"/>
              <w:left w:type="dxa" w:w="100"/>
              <w:bottom w:type="dxa" w:w="120"/>
              <w:right w:type="dxa" w:w="220"/>
            </w:tcMar>
          </w:tcPr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AADDBB"/>
                <w:sz w:val="18"/>
                <w:szCs w:val="18"/>
              </w:rPr>
              <w:t xml:space="preserve">Centroamérica</w:t>
            </w:r>
          </w:p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/>
                <w:bCs/>
                <w:color w:val="C8A951"/>
                <w:sz w:val="20"/>
                <w:szCs w:val="20"/>
              </w:rPr>
              <w:t xml:space="preserve">POTENCIAL MEDIO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5"/>
        <w:gridCol w:w="1405"/>
        <w:gridCol w:w="1405"/>
        <w:gridCol w:w="1405"/>
        <w:gridCol w:w="1405"/>
        <w:gridCol w:w="1405"/>
        <w:gridCol w:w="1405"/>
      </w:tblGrid>
      <w:tr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6.4M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Población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$37B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PIB Nominal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$5,720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PIB/cápita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3.5%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Crecimiento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1.5%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Inflación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75%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Urbanización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28 años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Edad mediana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920"/>
        <w:gridCol w:w="4920"/>
      </w:tblGrid>
      <w:tr>
        <w:tc>
          <w:tcPr>
            <w:tcW w:type="dxa" w:w="4920"/>
            <w:tcBorders>
              <w:top w:val="single" w:color="B8D8B8" w:sz="1"/>
              <w:left w:val="single" w:color="B8D8B8" w:sz="1"/>
              <w:bottom w:val="single" w:color="B8D8B8" w:sz="1"/>
              <w:right w:val="single" w:color="B8D8B8" w:sz="1"/>
            </w:tcBorders>
            <w:shd w:fill="F0FAF0" w:val="clear"/>
            <w:tcMar>
              <w:top w:type="dxa" w:w="120"/>
              <w:left w:type="dxa" w:w="160"/>
              <w:bottom w:type="dxa" w:w="120"/>
              <w:right w:type="dxa" w:w="10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1A5C38"/>
                <w:sz w:val="19"/>
                <w:szCs w:val="19"/>
              </w:rPr>
              <w:t xml:space="preserve">✅  Fortalezas y oportunidades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USD como moneda oficial — sin riesgo cambiario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Inflación de solo 1.5% y crecimiento estable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Remesas desde EUA ($8B+/año) impulsan fuerte consumo doméstico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Seguridad mejorada dramáticamente (2023-2025) — nuevo clima de inversión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Afinidad cultural total con marcas de habla hispana</w:t>
            </w:r>
          </w:p>
        </w:tc>
        <w:tc>
          <w:tcPr>
            <w:tcW w:type="dxa" w:w="49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4F4" w:val="clear"/>
            <w:tcMar>
              <w:top w:type="dxa" w:w="120"/>
              <w:left w:type="dxa" w:w="100"/>
              <w:bottom w:type="dxa" w:w="120"/>
              <w:right w:type="dxa" w:w="16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885500"/>
                <w:sz w:val="19"/>
                <w:szCs w:val="19"/>
              </w:rPr>
              <w:t xml:space="preserve">⚠  Consideraciones / Riesgos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Mercado pequeño (6.4M)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PIB per cápita moderado — segmento de precio accesible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/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Sistemas de franquicia: ~60 sistemas activos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Foodservice: CAGR 7% anual</w:t>
            </w:r>
          </w:p>
        </w:tc>
      </w:tr>
    </w:tbl>
    <w:p>
      <w:pPr>
        <w:spacing w:after="20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40"/>
        <w:gridCol w:w="2800"/>
      </w:tblGrid>
      <w:tr>
        <w:tc>
          <w:tcPr>
            <w:tcW w:type="dxa" w:w="7040"/>
            <w:tcBorders>
              <w:top w:val="single" w:color="2E7D52" w:sz="8"/>
              <w:left w:val="single" w:color="2E7D52" w:sz="8"/>
              <w:bottom w:val="single" w:color="1A5C38" w:sz="2"/>
              <w:right w:val="none" w:color="FFFFFF" w:sz="0"/>
            </w:tcBorders>
            <w:shd w:fill="2E7D52" w:val="clear"/>
            <w:tcMar>
              <w:top w:type="dxa" w:w="120"/>
              <w:left w:type="dxa" w:w="220"/>
              <w:bottom w:type="dxa" w:w="120"/>
              <w:right w:type="dxa" w:w="100"/>
            </w:tcMar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32"/>
                <w:szCs w:val="32"/>
              </w:rPr>
              <w:t xml:space="preserve">12  🇭🇳  HONDURAS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CCEECC"/>
                <w:sz w:val="18"/>
                <w:szCs w:val="18"/>
              </w:rPr>
              <w:t xml:space="preserve">Mercado en crecimiento con remesas como motor — Tegucigalpa y San Pedro Sula en expansión</w:t>
            </w:r>
          </w:p>
        </w:tc>
        <w:tc>
          <w:tcPr>
            <w:tcW w:type="dxa" w:w="2800"/>
            <w:tcBorders>
              <w:top w:val="single" w:color="2E7D52" w:sz="8"/>
              <w:left w:val="none" w:color="FFFFFF" w:sz="0"/>
              <w:bottom w:val="single" w:color="1A5C38" w:sz="2"/>
              <w:right w:val="single" w:color="2E7D52" w:sz="8"/>
            </w:tcBorders>
            <w:shd w:fill="1A5C38" w:val="clear"/>
            <w:tcMar>
              <w:top w:type="dxa" w:w="120"/>
              <w:left w:type="dxa" w:w="100"/>
              <w:bottom w:type="dxa" w:w="120"/>
              <w:right w:type="dxa" w:w="220"/>
            </w:tcMar>
          </w:tcPr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AADDBB"/>
                <w:sz w:val="18"/>
                <w:szCs w:val="18"/>
              </w:rPr>
              <w:t xml:space="preserve">Centroamérica</w:t>
            </w:r>
          </w:p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/>
                <w:bCs/>
                <w:color w:val="C8A951"/>
                <w:sz w:val="20"/>
                <w:szCs w:val="20"/>
              </w:rPr>
              <w:t xml:space="preserve">POTENCIAL A DESARROLLAR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5"/>
        <w:gridCol w:w="1405"/>
        <w:gridCol w:w="1405"/>
        <w:gridCol w:w="1405"/>
        <w:gridCol w:w="1405"/>
        <w:gridCol w:w="1405"/>
        <w:gridCol w:w="1405"/>
      </w:tblGrid>
      <w:tr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10.5M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Población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$38B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PIB Nominal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$3,520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PIB/cápita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3.5%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Crecimiento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5.5%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Inflación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58%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Urbanización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24 años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Edad mediana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920"/>
        <w:gridCol w:w="4920"/>
      </w:tblGrid>
      <w:tr>
        <w:tc>
          <w:tcPr>
            <w:tcW w:type="dxa" w:w="4920"/>
            <w:tcBorders>
              <w:top w:val="single" w:color="B8D8B8" w:sz="1"/>
              <w:left w:val="single" w:color="B8D8B8" w:sz="1"/>
              <w:bottom w:val="single" w:color="B8D8B8" w:sz="1"/>
              <w:right w:val="single" w:color="B8D8B8" w:sz="1"/>
            </w:tcBorders>
            <w:shd w:fill="F0FAF0" w:val="clear"/>
            <w:tcMar>
              <w:top w:type="dxa" w:w="120"/>
              <w:left w:type="dxa" w:w="160"/>
              <w:bottom w:type="dxa" w:w="120"/>
              <w:right w:type="dxa" w:w="10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1A5C38"/>
                <w:sz w:val="19"/>
                <w:szCs w:val="19"/>
              </w:rPr>
              <w:t xml:space="preserve">✅  Fortalezas y oportunidades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Remesas (25%+ del PIB) crean consumo constante en clase media emergente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Crecimiento sostenido del 3.5% anual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San Pedro Sula como polo industrial y comercial en expansión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Afinidad cultural total — español y cultura similar a México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Bajo costo de operación comparado con mercados más desarrollados</w:t>
            </w:r>
          </w:p>
        </w:tc>
        <w:tc>
          <w:tcPr>
            <w:tcW w:type="dxa" w:w="49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4F4" w:val="clear"/>
            <w:tcMar>
              <w:top w:type="dxa" w:w="120"/>
              <w:left w:type="dxa" w:w="100"/>
              <w:bottom w:type="dxa" w:w="120"/>
              <w:right w:type="dxa" w:w="16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885500"/>
                <w:sz w:val="19"/>
                <w:szCs w:val="19"/>
              </w:rPr>
              <w:t xml:space="preserve">⚠  Consideraciones / Riesgos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PIB per cápita muy bajo ($3,520)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Inseguridad persistente en algunas zonas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Infraestructura comercial limitada fuera de las dos ciudades principales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/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Sistemas de franquicia: ~50 sistemas activos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Foodservice: CAGR 8% anual</w:t>
            </w:r>
          </w:p>
        </w:tc>
      </w:tr>
    </w:tbl>
    <w:p>
      <w:pPr>
        <w:spacing w:after="20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40"/>
        <w:gridCol w:w="2800"/>
      </w:tblGrid>
      <w:tr>
        <w:tc>
          <w:tcPr>
            <w:tcW w:type="dxa" w:w="7040"/>
            <w:tcBorders>
              <w:top w:val="single" w:color="2E7D52" w:sz="8"/>
              <w:left w:val="single" w:color="2E7D52" w:sz="8"/>
              <w:bottom w:val="single" w:color="1A5C38" w:sz="2"/>
              <w:right w:val="none" w:color="FFFFFF" w:sz="0"/>
            </w:tcBorders>
            <w:shd w:fill="2E7D52" w:val="clear"/>
            <w:tcMar>
              <w:top w:type="dxa" w:w="120"/>
              <w:left w:type="dxa" w:w="220"/>
              <w:bottom w:type="dxa" w:w="120"/>
              <w:right w:type="dxa" w:w="100"/>
            </w:tcMar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32"/>
                <w:szCs w:val="32"/>
              </w:rPr>
              <w:t xml:space="preserve">13  🇧🇿  BELICE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CCEECC"/>
                <w:sz w:val="18"/>
                <w:szCs w:val="18"/>
              </w:rPr>
              <w:t xml:space="preserve">Única nación angloparlante de Centroamérica — turismo y acceso al mercado del Caribe</w:t>
            </w:r>
          </w:p>
        </w:tc>
        <w:tc>
          <w:tcPr>
            <w:tcW w:type="dxa" w:w="2800"/>
            <w:tcBorders>
              <w:top w:val="single" w:color="2E7D52" w:sz="8"/>
              <w:left w:val="none" w:color="FFFFFF" w:sz="0"/>
              <w:bottom w:val="single" w:color="1A5C38" w:sz="2"/>
              <w:right w:val="single" w:color="2E7D52" w:sz="8"/>
            </w:tcBorders>
            <w:shd w:fill="1A5C38" w:val="clear"/>
            <w:tcMar>
              <w:top w:type="dxa" w:w="120"/>
              <w:left w:type="dxa" w:w="100"/>
              <w:bottom w:type="dxa" w:w="120"/>
              <w:right w:type="dxa" w:w="220"/>
            </w:tcMar>
          </w:tcPr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AADDBB"/>
                <w:sz w:val="18"/>
                <w:szCs w:val="18"/>
              </w:rPr>
              <w:t xml:space="preserve">Centroamérica</w:t>
            </w:r>
          </w:p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/>
                <w:bCs/>
                <w:color w:val="C8A951"/>
                <w:sz w:val="20"/>
                <w:szCs w:val="20"/>
              </w:rPr>
              <w:t xml:space="preserve">NICHO TURÍSTICO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5"/>
        <w:gridCol w:w="1405"/>
        <w:gridCol w:w="1405"/>
        <w:gridCol w:w="1405"/>
        <w:gridCol w:w="1405"/>
        <w:gridCol w:w="1405"/>
        <w:gridCol w:w="1405"/>
      </w:tblGrid>
      <w:tr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450K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Población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$3.4B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PIB Nominal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$7,560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PIB/cápita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4.5%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Crecimiento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2.5%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Inflación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46%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Urbanización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27 años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Edad mediana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920"/>
        <w:gridCol w:w="4920"/>
      </w:tblGrid>
      <w:tr>
        <w:tc>
          <w:tcPr>
            <w:tcW w:type="dxa" w:w="4920"/>
            <w:tcBorders>
              <w:top w:val="single" w:color="B8D8B8" w:sz="1"/>
              <w:left w:val="single" w:color="B8D8B8" w:sz="1"/>
              <w:bottom w:val="single" w:color="B8D8B8" w:sz="1"/>
              <w:right w:val="single" w:color="B8D8B8" w:sz="1"/>
            </w:tcBorders>
            <w:shd w:fill="F0FAF0" w:val="clear"/>
            <w:tcMar>
              <w:top w:type="dxa" w:w="120"/>
              <w:left w:type="dxa" w:w="160"/>
              <w:bottom w:type="dxa" w:w="120"/>
              <w:right w:type="dxa" w:w="10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1A5C38"/>
                <w:sz w:val="19"/>
                <w:szCs w:val="19"/>
              </w:rPr>
              <w:t xml:space="preserve">✅  Fortalezas y oportunidades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Inglés como idioma oficial — acceso al consumidor angloparlante del Caribe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Turismo de naturaleza y arqueología — consumidores de alto poder adquisitivo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Proximidad total con México — lógica de expansión natural desde Yucatán/Quintana Roo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Estabilidad política y dolarización parcial</w:t>
            </w:r>
          </w:p>
        </w:tc>
        <w:tc>
          <w:tcPr>
            <w:tcW w:type="dxa" w:w="49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4F4" w:val="clear"/>
            <w:tcMar>
              <w:top w:type="dxa" w:w="120"/>
              <w:left w:type="dxa" w:w="100"/>
              <w:bottom w:type="dxa" w:w="120"/>
              <w:right w:type="dxa" w:w="16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885500"/>
                <w:sz w:val="19"/>
                <w:szCs w:val="19"/>
              </w:rPr>
              <w:t xml:space="preserve">⚠  Consideraciones / Riesgos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Mercado micro (450K hab.) — sin escala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Sin infraestructura de franquicias desarrollada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/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Sistemas de franquicia: ~15 sistemas activos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Foodservice: Nicho turístico</w:t>
            </w:r>
          </w:p>
        </w:tc>
      </w:tr>
    </w:tbl>
    <w:p>
      <w:pPr>
        <w:spacing w:after="20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40"/>
        <w:gridCol w:w="2800"/>
      </w:tblGrid>
      <w:tr>
        <w:tc>
          <w:tcPr>
            <w:tcW w:type="dxa" w:w="7040"/>
            <w:tcBorders>
              <w:top w:val="single" w:color="2E7D52" w:sz="8"/>
              <w:left w:val="single" w:color="2E7D52" w:sz="8"/>
              <w:bottom w:val="single" w:color="1A5C38" w:sz="2"/>
              <w:right w:val="none" w:color="FFFFFF" w:sz="0"/>
            </w:tcBorders>
            <w:shd w:fill="2E7D52" w:val="clear"/>
            <w:tcMar>
              <w:top w:type="dxa" w:w="120"/>
              <w:left w:type="dxa" w:w="220"/>
              <w:bottom w:type="dxa" w:w="120"/>
              <w:right w:type="dxa" w:w="100"/>
            </w:tcMar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32"/>
                <w:szCs w:val="32"/>
              </w:rPr>
              <w:t xml:space="preserve">14  🇳🇮  NICARAGUA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CCEECC"/>
                <w:sz w:val="18"/>
                <w:szCs w:val="18"/>
              </w:rPr>
              <w:t xml:space="preserve">Mercado de bajo costo con crecimiento sostenido — riesgo político a evaluar</w:t>
            </w:r>
          </w:p>
        </w:tc>
        <w:tc>
          <w:tcPr>
            <w:tcW w:type="dxa" w:w="2800"/>
            <w:tcBorders>
              <w:top w:val="single" w:color="2E7D52" w:sz="8"/>
              <w:left w:val="none" w:color="FFFFFF" w:sz="0"/>
              <w:bottom w:val="single" w:color="1A5C38" w:sz="2"/>
              <w:right w:val="single" w:color="2E7D52" w:sz="8"/>
            </w:tcBorders>
            <w:shd w:fill="1A5C38" w:val="clear"/>
            <w:tcMar>
              <w:top w:type="dxa" w:w="120"/>
              <w:left w:type="dxa" w:w="100"/>
              <w:bottom w:type="dxa" w:w="120"/>
              <w:right w:type="dxa" w:w="220"/>
            </w:tcMar>
          </w:tcPr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AADDBB"/>
                <w:sz w:val="18"/>
                <w:szCs w:val="18"/>
              </w:rPr>
              <w:t xml:space="preserve">Centroamérica</w:t>
            </w:r>
          </w:p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/>
                <w:bCs/>
                <w:color w:val="C8A951"/>
                <w:sz w:val="20"/>
                <w:szCs w:val="20"/>
              </w:rPr>
              <w:t xml:space="preserve">RIESGO ELEVADO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5"/>
        <w:gridCol w:w="1405"/>
        <w:gridCol w:w="1405"/>
        <w:gridCol w:w="1405"/>
        <w:gridCol w:w="1405"/>
        <w:gridCol w:w="1405"/>
        <w:gridCol w:w="1405"/>
      </w:tblGrid>
      <w:tr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7M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Población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$20B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PIB Nominal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$2,860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PIB/cápita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4.0%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Crecimiento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6.0%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Inflación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60%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Urbanización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26 años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Edad mediana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920"/>
        <w:gridCol w:w="4920"/>
      </w:tblGrid>
      <w:tr>
        <w:tc>
          <w:tcPr>
            <w:tcW w:type="dxa" w:w="4920"/>
            <w:tcBorders>
              <w:top w:val="single" w:color="B8D8B8" w:sz="1"/>
              <w:left w:val="single" w:color="B8D8B8" w:sz="1"/>
              <w:bottom w:val="single" w:color="B8D8B8" w:sz="1"/>
              <w:right w:val="single" w:color="B8D8B8" w:sz="1"/>
            </w:tcBorders>
            <w:shd w:fill="F0FAF0" w:val="clear"/>
            <w:tcMar>
              <w:top w:type="dxa" w:w="120"/>
              <w:left w:type="dxa" w:w="160"/>
              <w:bottom w:type="dxa" w:w="120"/>
              <w:right w:type="dxa" w:w="10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1A5C38"/>
                <w:sz w:val="19"/>
                <w:szCs w:val="19"/>
              </w:rPr>
              <w:t xml:space="preserve">✅  Fortalezas y oportunidades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Crecimiento del 4% con mano de obra y costos operativos muy bajos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Mercado emergente con espacio para primeras franquicias formales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Managua como mercado urbano creciente</w:t>
            </w:r>
          </w:p>
        </w:tc>
        <w:tc>
          <w:tcPr>
            <w:tcW w:type="dxa" w:w="49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4F4" w:val="clear"/>
            <w:tcMar>
              <w:top w:type="dxa" w:w="120"/>
              <w:left w:type="dxa" w:w="100"/>
              <w:bottom w:type="dxa" w:w="120"/>
              <w:right w:type="dxa" w:w="16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885500"/>
                <w:sz w:val="19"/>
                <w:szCs w:val="19"/>
              </w:rPr>
              <w:t xml:space="preserve">⚠  Consideraciones / Riesgos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Régimen autoritario — riesgo político alto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PIB per cápita muy bajo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Sanciones internacionales limitan acceso a servicios financieros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/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Sistemas de franquicia: ~30 sistemas activos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Foodservice: CAGR 6% anual</w:t>
            </w:r>
          </w:p>
        </w:tc>
      </w:tr>
    </w:tbl>
    <w:p>
      <w:pPr>
        <w:spacing w:after="20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40"/>
        <w:gridCol w:w="2800"/>
      </w:tblGrid>
      <w:tr>
        <w:tc>
          <w:tcPr>
            <w:tcW w:type="dxa" w:w="7040"/>
            <w:tcBorders>
              <w:top w:val="single" w:color="2E7D52" w:sz="8"/>
              <w:left w:val="single" w:color="2E7D52" w:sz="8"/>
              <w:bottom w:val="single" w:color="1A5C38" w:sz="2"/>
              <w:right w:val="none" w:color="FFFFFF" w:sz="0"/>
            </w:tcBorders>
            <w:shd w:fill="2E7D52" w:val="clear"/>
            <w:tcMar>
              <w:top w:type="dxa" w:w="120"/>
              <w:left w:type="dxa" w:w="220"/>
              <w:bottom w:type="dxa" w:w="120"/>
              <w:right w:type="dxa" w:w="100"/>
            </w:tcMar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32"/>
                <w:szCs w:val="32"/>
              </w:rPr>
              <w:t xml:space="preserve">15  🇵🇾  PARAGUAY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CCEECC"/>
                <w:sz w:val="18"/>
                <w:szCs w:val="18"/>
              </w:rPr>
              <w:t xml:space="preserve">Economía de bajo impuesto y crecimiento sólido — mercado emergente en Asunción</w:t>
            </w:r>
          </w:p>
        </w:tc>
        <w:tc>
          <w:tcPr>
            <w:tcW w:type="dxa" w:w="2800"/>
            <w:tcBorders>
              <w:top w:val="single" w:color="2E7D52" w:sz="8"/>
              <w:left w:val="none" w:color="FFFFFF" w:sz="0"/>
              <w:bottom w:val="single" w:color="1A5C38" w:sz="2"/>
              <w:right w:val="single" w:color="2E7D52" w:sz="8"/>
            </w:tcBorders>
            <w:shd w:fill="1A5C38" w:val="clear"/>
            <w:tcMar>
              <w:top w:type="dxa" w:w="120"/>
              <w:left w:type="dxa" w:w="100"/>
              <w:bottom w:type="dxa" w:w="120"/>
              <w:right w:type="dxa" w:w="220"/>
            </w:tcMar>
          </w:tcPr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AADDBB"/>
                <w:sz w:val="18"/>
                <w:szCs w:val="18"/>
              </w:rPr>
              <w:t xml:space="preserve">Sudamérica</w:t>
            </w:r>
          </w:p>
          <w:p>
            <w:pPr>
              <w:spacing w:after="60"/>
              <w:jc w:val="right"/>
            </w:pPr>
            <w:r>
              <w:rPr>
                <w:rFonts w:ascii="Arial" w:cs="Arial" w:eastAsia="Arial" w:hAnsi="Arial"/>
                <w:b/>
                <w:bCs/>
                <w:color w:val="C8A951"/>
                <w:sz w:val="20"/>
                <w:szCs w:val="20"/>
              </w:rPr>
              <w:t xml:space="preserve">POTENCIAL MEDIO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5"/>
        <w:gridCol w:w="1405"/>
        <w:gridCol w:w="1405"/>
        <w:gridCol w:w="1405"/>
        <w:gridCol w:w="1405"/>
        <w:gridCol w:w="1405"/>
        <w:gridCol w:w="1405"/>
      </w:tblGrid>
      <w:tr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7.5M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Población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$45B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PIB Nominal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$6,524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PIB/cápita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4.5%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Crecimiento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4.0%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Inflación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63%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Urbanización</w:t>
            </w:r>
          </w:p>
        </w:tc>
        <w:tc>
          <w:tcPr>
            <w:tcW w:type="dxa" w:w="1405"/>
            <w:tcBorders>
              <w:top w:val="single" w:color="A8D8A8" w:sz="1"/>
              <w:left w:val="single" w:color="A8D8A8" w:sz="1"/>
              <w:bottom w:val="single" w:color="A8D8A8" w:sz="1"/>
              <w:right w:val="single" w:color="A8D8A8" w:sz="1"/>
            </w:tcBorders>
            <w:shd w:fill="E8F5E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C38"/>
                <w:sz w:val="22"/>
                <w:szCs w:val="22"/>
              </w:rPr>
              <w:t xml:space="preserve">26 años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7D52"/>
                <w:sz w:val="16"/>
                <w:szCs w:val="16"/>
              </w:rPr>
              <w:t xml:space="preserve">Edad mediana</w:t>
            </w:r>
          </w:p>
        </w:tc>
      </w:tr>
    </w:tbl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920"/>
        <w:gridCol w:w="4920"/>
      </w:tblGrid>
      <w:tr>
        <w:tc>
          <w:tcPr>
            <w:tcW w:type="dxa" w:w="4920"/>
            <w:tcBorders>
              <w:top w:val="single" w:color="B8D8B8" w:sz="1"/>
              <w:left w:val="single" w:color="B8D8B8" w:sz="1"/>
              <w:bottom w:val="single" w:color="B8D8B8" w:sz="1"/>
              <w:right w:val="single" w:color="B8D8B8" w:sz="1"/>
            </w:tcBorders>
            <w:shd w:fill="F0FAF0" w:val="clear"/>
            <w:tcMar>
              <w:top w:type="dxa" w:w="120"/>
              <w:left w:type="dxa" w:w="160"/>
              <w:bottom w:type="dxa" w:w="120"/>
              <w:right w:type="dxa" w:w="10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1A5C38"/>
                <w:sz w:val="19"/>
                <w:szCs w:val="19"/>
              </w:rPr>
              <w:t xml:space="preserve">✅  Fortalezas y oportunidades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Impuesto a la renta del 10% — uno de los más bajos de la región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4.5% de crecimiento sostenido — economía estable y abierta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Asunción con clase media creciente y apertura a marcas internacionales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Hub energético (represas Itaipú/Yacyretá) — electricidad más barata de la región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Bajo costo de operación general</w:t>
            </w:r>
          </w:p>
        </w:tc>
        <w:tc>
          <w:tcPr>
            <w:tcW w:type="dxa" w:w="49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4F4" w:val="clear"/>
            <w:tcMar>
              <w:top w:type="dxa" w:w="120"/>
              <w:left w:type="dxa" w:w="100"/>
              <w:bottom w:type="dxa" w:w="120"/>
              <w:right w:type="dxa" w:w="160"/>
            </w:tcMar>
          </w:tcPr>
          <w:p>
            <w:pPr>
              <w:spacing w:after="80"/>
              <w:jc w:val="left"/>
            </w:pPr>
            <w:r>
              <w:rPr>
                <w:rFonts w:ascii="Arial" w:cs="Arial" w:eastAsia="Arial" w:hAnsi="Arial"/>
                <w:b/>
                <w:bCs/>
                <w:color w:val="885500"/>
                <w:sz w:val="19"/>
                <w:szCs w:val="19"/>
              </w:rPr>
              <w:t xml:space="preserve">⚠  Consideraciones / Riesgos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Mercado pequeño (7.5M)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Alta informalidad económica</w:t>
            </w:r>
          </w:p>
          <w:p>
            <w:pPr>
              <w:spacing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Percepción de corrupción moderada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/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Sistemas de franquicia: ~60 sistemas activos</w:t>
            </w:r>
          </w:p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7"/>
                <w:szCs w:val="17"/>
              </w:rPr>
              <w:t xml:space="preserve">Foodservice: CAGR 8% anual</w:t>
            </w:r>
          </w:p>
        </w:tc>
      </w:tr>
    </w:tbl>
    <w:p>
      <w:pPr>
        <w:spacing w:after="20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p>
      <w:r>
        <w:br w:type="pag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840"/>
      </w:tblGrid>
      <w:tr>
        <w:tc>
          <w:tcPr>
            <w:tcW w:type="dxa" w:w="984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D4A017" w:val="clear"/>
            <w:tcMar>
              <w:top w:type="dxa" w:w="200"/>
              <w:left w:type="dxa" w:w="360"/>
              <w:bottom w:type="dxa" w:w="200"/>
              <w:right w:type="dxa" w:w="36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34"/>
                <w:szCs w:val="34"/>
              </w:rPr>
              <w:t xml:space="preserve">🟡  SECCIÓN 3 — MERCADOS EN DESARROLLO / CONDICIONADOS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FFFFFF"/>
                <w:sz w:val="21"/>
                <w:szCs w:val="21"/>
              </w:rPr>
              <w:t xml:space="preserve">Potencial identificable pero con barreras significativas — evaluación caso por caso</w:t>
            </w:r>
          </w:p>
        </w:tc>
      </w:tr>
    </w:tbl>
    <w:p>
      <w:pPr>
        <w:spacing w:after="6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1100"/>
        <w:gridCol w:w="700"/>
        <w:gridCol w:w="900"/>
        <w:gridCol w:w="800"/>
        <w:gridCol w:w="680"/>
        <w:gridCol w:w="700"/>
        <w:gridCol w:w="700"/>
      </w:tblGrid>
      <w:tr>
        <w:tc>
          <w:tcPr>
            <w:tcW w:type="dxa" w:w="1600"/>
            <w:tcBorders>
              <w:top w:val="single" w:color="D4A017" w:sz="1"/>
              <w:left w:val="single" w:color="D4A017" w:sz="1"/>
              <w:bottom w:val="single" w:color="D4A017" w:sz="1"/>
              <w:right w:val="single" w:color="D4A017" w:sz="1"/>
            </w:tcBorders>
            <w:shd w:fill="D4A017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País</w:t>
            </w:r>
          </w:p>
        </w:tc>
        <w:tc>
          <w:tcPr>
            <w:tcW w:type="dxa" w:w="1100"/>
            <w:tcBorders>
              <w:top w:val="single" w:color="D4A017" w:sz="1"/>
              <w:left w:val="single" w:color="D4A017" w:sz="1"/>
              <w:bottom w:val="single" w:color="D4A017" w:sz="1"/>
              <w:right w:val="single" w:color="D4A017" w:sz="1"/>
            </w:tcBorders>
            <w:shd w:fill="D4A017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Región</w:t>
            </w:r>
          </w:p>
        </w:tc>
        <w:tc>
          <w:tcPr>
            <w:tcW w:type="dxa" w:w="700"/>
            <w:tcBorders>
              <w:top w:val="single" w:color="D4A017" w:sz="1"/>
              <w:left w:val="single" w:color="D4A017" w:sz="1"/>
              <w:bottom w:val="single" w:color="D4A017" w:sz="1"/>
              <w:right w:val="single" w:color="D4A017" w:sz="1"/>
            </w:tcBorders>
            <w:shd w:fill="D4A017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Pob.</w:t>
            </w:r>
          </w:p>
        </w:tc>
        <w:tc>
          <w:tcPr>
            <w:tcW w:type="dxa" w:w="900"/>
            <w:tcBorders>
              <w:top w:val="single" w:color="D4A017" w:sz="1"/>
              <w:left w:val="single" w:color="D4A017" w:sz="1"/>
              <w:bottom w:val="single" w:color="D4A017" w:sz="1"/>
              <w:right w:val="single" w:color="D4A017" w:sz="1"/>
            </w:tcBorders>
            <w:shd w:fill="D4A017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PIB</w:t>
            </w:r>
          </w:p>
        </w:tc>
        <w:tc>
          <w:tcPr>
            <w:tcW w:type="dxa" w:w="800"/>
            <w:tcBorders>
              <w:top w:val="single" w:color="D4A017" w:sz="1"/>
              <w:left w:val="single" w:color="D4A017" w:sz="1"/>
              <w:bottom w:val="single" w:color="D4A017" w:sz="1"/>
              <w:right w:val="single" w:color="D4A017" w:sz="1"/>
            </w:tcBorders>
            <w:shd w:fill="D4A017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PIB/cap</w:t>
            </w:r>
          </w:p>
        </w:tc>
        <w:tc>
          <w:tcPr>
            <w:tcW w:type="dxa" w:w="680"/>
            <w:tcBorders>
              <w:top w:val="single" w:color="D4A017" w:sz="1"/>
              <w:left w:val="single" w:color="D4A017" w:sz="1"/>
              <w:bottom w:val="single" w:color="D4A017" w:sz="1"/>
              <w:right w:val="single" w:color="D4A017" w:sz="1"/>
            </w:tcBorders>
            <w:shd w:fill="D4A017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Crec.</w:t>
            </w:r>
          </w:p>
        </w:tc>
        <w:tc>
          <w:tcPr>
            <w:tcW w:type="dxa" w:w="700"/>
            <w:tcBorders>
              <w:top w:val="single" w:color="D4A017" w:sz="1"/>
              <w:left w:val="single" w:color="D4A017" w:sz="1"/>
              <w:bottom w:val="single" w:color="D4A017" w:sz="1"/>
              <w:right w:val="single" w:color="D4A017" w:sz="1"/>
            </w:tcBorders>
            <w:shd w:fill="D4A017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Inflac.</w:t>
            </w:r>
          </w:p>
        </w:tc>
        <w:tc>
          <w:tcPr>
            <w:tcW w:type="dxa" w:w="700"/>
            <w:tcBorders>
              <w:top w:val="single" w:color="D4A017" w:sz="1"/>
              <w:left w:val="single" w:color="D4A017" w:sz="1"/>
              <w:bottom w:val="single" w:color="D4A017" w:sz="1"/>
              <w:right w:val="single" w:color="D4A017" w:sz="1"/>
            </w:tcBorders>
            <w:shd w:fill="D4A017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Urban.</w:t>
            </w:r>
          </w:p>
        </w:tc>
      </w:tr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7A5C00"/>
                <w:sz w:val="18"/>
                <w:szCs w:val="18"/>
              </w:rPr>
              <w:t xml:space="preserve">🇪🇨 ECUADOR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Sudamérica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18M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$126B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$6,940</w:t>
            </w:r>
          </w:p>
        </w:tc>
        <w:tc>
          <w:tcPr>
            <w:tcW w:type="dxa" w:w="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2.0%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2.0%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65%</w:t>
            </w:r>
          </w:p>
        </w:tc>
      </w:tr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7A5C00"/>
                <w:sz w:val="18"/>
                <w:szCs w:val="18"/>
              </w:rPr>
              <w:t xml:space="preserve">🇧🇴 BOLIVIA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Sudamérica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12M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$56B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$4,530</w:t>
            </w:r>
          </w:p>
        </w:tc>
        <w:tc>
          <w:tcPr>
            <w:tcW w:type="dxa" w:w="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2.5%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3.5%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71%</w:t>
            </w:r>
          </w:p>
        </w:tc>
      </w:tr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7A5C00"/>
                <w:sz w:val="18"/>
                <w:szCs w:val="18"/>
              </w:rPr>
              <w:t xml:space="preserve">🇯🇲 JAMAICA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El Caribe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3M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$20B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$6,670</w:t>
            </w:r>
          </w:p>
        </w:tc>
        <w:tc>
          <w:tcPr>
            <w:tcW w:type="dxa" w:w="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2.0%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5.5%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57%</w:t>
            </w:r>
          </w:p>
        </w:tc>
      </w:tr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7A5C00"/>
                <w:sz w:val="18"/>
                <w:szCs w:val="18"/>
              </w:rPr>
              <w:t xml:space="preserve">🇹🇹 TRINIDAD Y TOBAGO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El Caribe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1.5M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$26B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$18,440</w:t>
            </w:r>
          </w:p>
        </w:tc>
        <w:tc>
          <w:tcPr>
            <w:tcW w:type="dxa" w:w="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2.5%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5.0%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54%</w:t>
            </w:r>
          </w:p>
        </w:tc>
      </w:tr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7A5C00"/>
                <w:sz w:val="18"/>
                <w:szCs w:val="18"/>
              </w:rPr>
              <w:t xml:space="preserve">🇬🇾 GUYANA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Sudamérica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800K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$26B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$32,330</w:t>
            </w:r>
          </w:p>
        </w:tc>
        <w:tc>
          <w:tcPr>
            <w:tcW w:type="dxa" w:w="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28%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4.0%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27%</w:t>
            </w:r>
          </w:p>
        </w:tc>
      </w:tr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7A5C00"/>
                <w:sz w:val="18"/>
                <w:szCs w:val="18"/>
              </w:rPr>
              <w:t xml:space="preserve">🇸🇷 SURINAM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Sudamérica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630K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$3.8B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$6,035</w:t>
            </w:r>
          </w:p>
        </w:tc>
        <w:tc>
          <w:tcPr>
            <w:tcW w:type="dxa" w:w="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3.5%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25%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67%</w:t>
            </w:r>
          </w:p>
        </w:tc>
      </w:tr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7A5C00"/>
                <w:sz w:val="18"/>
                <w:szCs w:val="18"/>
              </w:rPr>
              <w:t xml:space="preserve">🇨🇺 CUBA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El Caribe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11M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ND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ND</w:t>
            </w:r>
          </w:p>
        </w:tc>
        <w:tc>
          <w:tcPr>
            <w:tcW w:type="dxa" w:w="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ND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Alta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78%</w:t>
            </w:r>
          </w:p>
        </w:tc>
      </w:tr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7A5C00"/>
                <w:sz w:val="18"/>
                <w:szCs w:val="18"/>
              </w:rPr>
              <w:t xml:space="preserve">🇭🇹 HAITÍ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El Caribe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12M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$34B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$2,670</w:t>
            </w:r>
          </w:p>
        </w:tc>
        <w:tc>
          <w:tcPr>
            <w:tcW w:type="dxa" w:w="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-3%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30%+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58%</w:t>
            </w:r>
          </w:p>
        </w:tc>
      </w:tr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7A5C00"/>
                <w:sz w:val="18"/>
                <w:szCs w:val="18"/>
              </w:rPr>
              <w:t xml:space="preserve">🇻🇪 VENEZUELA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Sudamérica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29M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$109B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$3,867</w:t>
            </w:r>
          </w:p>
        </w:tc>
        <w:tc>
          <w:tcPr>
            <w:tcW w:type="dxa" w:w="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4.0%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100%+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88%</w:t>
            </w:r>
          </w:p>
        </w:tc>
      </w:tr>
    </w:tbl>
    <w:p>
      <w:pPr>
        <w:spacing w:after="6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p>
      <w:pPr>
        <w:spacing w:after="60"/>
        <w:jc w:val="left"/>
      </w:pPr>
      <w:r>
        <w:rPr>
          <w:rFonts w:ascii="Arial" w:cs="Arial" w:eastAsia="Arial" w:hAnsi="Arial"/>
          <w:b/>
          <w:bCs/>
          <w:color w:val="7A5C00"/>
          <w:sz w:val="22"/>
          <w:szCs w:val="22"/>
        </w:rPr>
        <w:t xml:space="preserve">Notas por país — Mercados en Desarrollo</w:t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8240"/>
      </w:tblGrid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7A5C00"/>
                <w:sz w:val="17"/>
                <w:szCs w:val="17"/>
              </w:rPr>
              <w:t xml:space="preserve">🇪🇨
ECUADOR</w:t>
            </w:r>
          </w:p>
        </w:tc>
        <w:tc>
          <w:tcPr>
            <w:tcW w:type="dxa" w:w="8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Dolarizado (USD) — sin riesgo cambiario. Quito y Guayaquil con clase media activa. Crecimiento lento y violencia urbana creciente limitan el potencial en el corto plazo. Mercado interesante a 3-5 años.</w:t>
            </w:r>
          </w:p>
        </w:tc>
      </w:tr>
    </w:tbl>
    <w:p>
      <w:pPr>
        <w:spacing w:after="6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8240"/>
      </w:tblGrid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7A5C00"/>
                <w:sz w:val="17"/>
                <w:szCs w:val="17"/>
              </w:rPr>
              <w:t xml:space="preserve">🇧🇴
BOLIVIA</w:t>
            </w:r>
          </w:p>
        </w:tc>
        <w:tc>
          <w:tcPr>
            <w:tcW w:type="dxa" w:w="8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Santa Cruz de la Sierra como polo de crecimiento. PIB per cápita bajo pero clase media emergente. Estabilidad macroeconómica en riesgo por tensiones políticas. Oportunidad a mediano plazo.</w:t>
            </w:r>
          </w:p>
        </w:tc>
      </w:tr>
    </w:tbl>
    <w:p>
      <w:pPr>
        <w:spacing w:after="6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8240"/>
      </w:tblGrid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7A5C00"/>
                <w:sz w:val="17"/>
                <w:szCs w:val="17"/>
              </w:rPr>
              <w:t xml:space="preserve">🇯🇲
JAMAICA</w:t>
            </w:r>
          </w:p>
        </w:tc>
        <w:tc>
          <w:tcPr>
            <w:tcW w:type="dxa" w:w="8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Turismo anglófono importante. Mercado pequeño pero con franquicias establecidas (KFC, McDonald's). Cultura de QSR bien desarrollada. Posible nicho para marcas mexicanas en zonas turísticas.</w:t>
            </w:r>
          </w:p>
        </w:tc>
      </w:tr>
    </w:tbl>
    <w:p>
      <w:pPr>
        <w:spacing w:after="6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8240"/>
      </w:tblGrid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7A5C00"/>
                <w:sz w:val="17"/>
                <w:szCs w:val="17"/>
              </w:rPr>
              <w:t xml:space="preserve">🇹🇹
TRINIDAD Y TOBAGO</w:t>
            </w:r>
          </w:p>
        </w:tc>
        <w:tc>
          <w:tcPr>
            <w:tcW w:type="dxa" w:w="8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PIB per cápita alto ($18,440) por petróleo. Mercado pequeño pero sofisticado. Anglófono. Potencial nicho en mercado premium.</w:t>
            </w:r>
          </w:p>
        </w:tc>
      </w:tr>
    </w:tbl>
    <w:p>
      <w:pPr>
        <w:spacing w:after="6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8240"/>
      </w:tblGrid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7A5C00"/>
                <w:sz w:val="17"/>
                <w:szCs w:val="17"/>
              </w:rPr>
              <w:t xml:space="preserve">🇬🇾
GUYANA</w:t>
            </w:r>
          </w:p>
        </w:tc>
        <w:tc>
          <w:tcPr>
            <w:tcW w:type="dxa" w:w="8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Crecimiento del 28% por boom petrolero — el más alto del mundo en 2024-2025. PIB per cápita ya en $32K y subiendo. Mercado muy pequeño pero con ingresos disparándose. Anglófono. Caso especial a vigilar.</w:t>
            </w:r>
          </w:p>
        </w:tc>
      </w:tr>
    </w:tbl>
    <w:p>
      <w:pPr>
        <w:spacing w:after="6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8240"/>
      </w:tblGrid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7A5C00"/>
                <w:sz w:val="17"/>
                <w:szCs w:val="17"/>
              </w:rPr>
              <w:t xml:space="preserve">🇸🇷
SURINAM</w:t>
            </w:r>
          </w:p>
        </w:tc>
        <w:tc>
          <w:tcPr>
            <w:tcW w:type="dxa" w:w="8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Micro-mercado con alta inflación. Holandés como idioma oficial. Sin condiciones para franquicias en corto plazo.</w:t>
            </w:r>
          </w:p>
        </w:tc>
      </w:tr>
    </w:tbl>
    <w:p>
      <w:pPr>
        <w:spacing w:after="6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8240"/>
      </w:tblGrid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7A5C00"/>
                <w:sz w:val="17"/>
                <w:szCs w:val="17"/>
              </w:rPr>
              <w:t xml:space="preserve">🇨🇺
CUBA</w:t>
            </w:r>
          </w:p>
        </w:tc>
        <w:tc>
          <w:tcPr>
            <w:tcW w:type="dxa" w:w="8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Economía planificada — sin acceso para franquicias privadas extranjeras bajo régimen actual. Datos económicos no disponibles de forma fiable. No aplica.</w:t>
            </w:r>
          </w:p>
        </w:tc>
      </w:tr>
    </w:tbl>
    <w:p>
      <w:pPr>
        <w:spacing w:after="6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8240"/>
      </w:tblGrid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7A5C00"/>
                <w:sz w:val="17"/>
                <w:szCs w:val="17"/>
              </w:rPr>
              <w:t xml:space="preserve">🇭🇹
HAITÍ</w:t>
            </w:r>
          </w:p>
        </w:tc>
        <w:tc>
          <w:tcPr>
            <w:tcW w:type="dxa" w:w="8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Crisis humanitaria activa — violencia de pandillas, colapso institucional, economía negativa. No apto para inversión bajo ningún concepto en el corto plazo.</w:t>
            </w:r>
          </w:p>
        </w:tc>
      </w:tr>
    </w:tbl>
    <w:p>
      <w:pPr>
        <w:spacing w:after="6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8240"/>
      </w:tblGrid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7A5C00"/>
                <w:sz w:val="17"/>
                <w:szCs w:val="17"/>
              </w:rPr>
              <w:t xml:space="preserve">🇻🇪
VENEZUELA</w:t>
            </w:r>
          </w:p>
        </w:tc>
        <w:tc>
          <w:tcPr>
            <w:tcW w:type="dxa" w:w="8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7"/>
                <w:szCs w:val="17"/>
              </w:rPr>
              <w:t xml:space="preserve">A pesar de cierta estabilización reciente, hiperinflación histórica, expropiaciones y control del Estado hacen el ambiente de franquicias inviable. Monitorear a mediano-largo plazo si hay cambio político.</w:t>
            </w:r>
          </w:p>
        </w:tc>
      </w:tr>
    </w:tbl>
    <w:p>
      <w:pPr>
        <w:spacing w:after="6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p>
      <w:r>
        <w:br w:type="pag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840"/>
      </w:tblGrid>
      <w:tr>
        <w:tc>
          <w:tcPr>
            <w:tcW w:type="dxa" w:w="984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8B1A1A" w:val="clear"/>
            <w:tcMar>
              <w:top w:type="dxa" w:w="200"/>
              <w:left w:type="dxa" w:w="360"/>
              <w:bottom w:type="dxa" w:w="200"/>
              <w:right w:type="dxa" w:w="36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34"/>
                <w:szCs w:val="34"/>
              </w:rPr>
              <w:t xml:space="preserve">🔴  SECCIÓN 4 — MICRO-ESTADOS Y MERCADOS SIN VIABILIDAD</w:t>
            </w:r>
          </w:p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FFAAAA"/>
                <w:sz w:val="20"/>
                <w:szCs w:val="20"/>
              </w:rPr>
              <w:t xml:space="preserve">Islas del Caribe y territorios sin escala de mercado suficiente para un modelo de franquicia estándar</w:t>
            </w:r>
          </w:p>
        </w:tc>
      </w:tr>
    </w:tbl>
    <w:p>
      <w:pPr>
        <w:spacing w:after="6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1100"/>
        <w:gridCol w:w="700"/>
        <w:gridCol w:w="900"/>
        <w:gridCol w:w="680"/>
        <w:gridCol w:w="700"/>
        <w:gridCol w:w="4260"/>
      </w:tblGrid>
      <w:tr>
        <w:tc>
          <w:tcPr>
            <w:tcW w:type="dxa" w:w="1500"/>
            <w:tcBorders>
              <w:top w:val="single" w:color="C0392B" w:sz="1"/>
              <w:left w:val="single" w:color="C0392B" w:sz="1"/>
              <w:bottom w:val="single" w:color="C0392B" w:sz="1"/>
              <w:right w:val="single" w:color="C0392B" w:sz="1"/>
            </w:tcBorders>
            <w:shd w:fill="C0392B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País</w:t>
            </w:r>
          </w:p>
        </w:tc>
        <w:tc>
          <w:tcPr>
            <w:tcW w:type="dxa" w:w="1100"/>
            <w:tcBorders>
              <w:top w:val="single" w:color="C0392B" w:sz="1"/>
              <w:left w:val="single" w:color="C0392B" w:sz="1"/>
              <w:bottom w:val="single" w:color="C0392B" w:sz="1"/>
              <w:right w:val="single" w:color="C0392B" w:sz="1"/>
            </w:tcBorders>
            <w:shd w:fill="C0392B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Región</w:t>
            </w:r>
          </w:p>
        </w:tc>
        <w:tc>
          <w:tcPr>
            <w:tcW w:type="dxa" w:w="700"/>
            <w:tcBorders>
              <w:top w:val="single" w:color="C0392B" w:sz="1"/>
              <w:left w:val="single" w:color="C0392B" w:sz="1"/>
              <w:bottom w:val="single" w:color="C0392B" w:sz="1"/>
              <w:right w:val="single" w:color="C0392B" w:sz="1"/>
            </w:tcBorders>
            <w:shd w:fill="C0392B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Pob.</w:t>
            </w:r>
          </w:p>
        </w:tc>
        <w:tc>
          <w:tcPr>
            <w:tcW w:type="dxa" w:w="900"/>
            <w:tcBorders>
              <w:top w:val="single" w:color="C0392B" w:sz="1"/>
              <w:left w:val="single" w:color="C0392B" w:sz="1"/>
              <w:bottom w:val="single" w:color="C0392B" w:sz="1"/>
              <w:right w:val="single" w:color="C0392B" w:sz="1"/>
            </w:tcBorders>
            <w:shd w:fill="C0392B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PIB/cap</w:t>
            </w:r>
          </w:p>
        </w:tc>
        <w:tc>
          <w:tcPr>
            <w:tcW w:type="dxa" w:w="680"/>
            <w:tcBorders>
              <w:top w:val="single" w:color="C0392B" w:sz="1"/>
              <w:left w:val="single" w:color="C0392B" w:sz="1"/>
              <w:bottom w:val="single" w:color="C0392B" w:sz="1"/>
              <w:right w:val="single" w:color="C0392B" w:sz="1"/>
            </w:tcBorders>
            <w:shd w:fill="C0392B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Crec.</w:t>
            </w:r>
          </w:p>
        </w:tc>
        <w:tc>
          <w:tcPr>
            <w:tcW w:type="dxa" w:w="700"/>
            <w:tcBorders>
              <w:top w:val="single" w:color="C0392B" w:sz="1"/>
              <w:left w:val="single" w:color="C0392B" w:sz="1"/>
              <w:bottom w:val="single" w:color="C0392B" w:sz="1"/>
              <w:right w:val="single" w:color="C0392B" w:sz="1"/>
            </w:tcBorders>
            <w:shd w:fill="C0392B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Inflac.</w:t>
            </w:r>
          </w:p>
        </w:tc>
        <w:tc>
          <w:tcPr>
            <w:tcW w:type="dxa" w:w="4260"/>
            <w:tcBorders>
              <w:top w:val="single" w:color="C0392B" w:sz="1"/>
              <w:left w:val="single" w:color="C0392B" w:sz="1"/>
              <w:bottom w:val="single" w:color="C0392B" w:sz="1"/>
              <w:right w:val="single" w:color="C0392B" w:sz="1"/>
            </w:tcBorders>
            <w:shd w:fill="C0392B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Razón de exclusión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F0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8B1A1A"/>
                <w:sz w:val="17"/>
                <w:szCs w:val="17"/>
              </w:rPr>
              <w:t xml:space="preserve">🇧🇸 BAHAMAS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F0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Caribe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F0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400K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F0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$37,500</w:t>
            </w:r>
          </w:p>
        </w:tc>
        <w:tc>
          <w:tcPr>
            <w:tcW w:type="dxa" w:w="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F0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2.5%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F0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3.0%</w:t>
            </w:r>
          </w:p>
        </w:tc>
        <w:tc>
          <w:tcPr>
            <w:tcW w:type="dxa" w:w="4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F0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PIB per cápita altísimo pero micro-mercado (400K). Turismo de lujo. Sin escala para franquicia.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8B1A1A"/>
                <w:sz w:val="17"/>
                <w:szCs w:val="17"/>
              </w:rPr>
              <w:t xml:space="preserve">🇧🇧 BARBADOS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Caribe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290K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$24,800</w:t>
            </w:r>
          </w:p>
        </w:tc>
        <w:tc>
          <w:tcPr>
            <w:tcW w:type="dxa" w:w="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4.5%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3.5%</w:t>
            </w:r>
          </w:p>
        </w:tc>
        <w:tc>
          <w:tcPr>
            <w:tcW w:type="dxa" w:w="4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Micro-mercado. Economía de turismo premium. Sin escala.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F0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8B1A1A"/>
                <w:sz w:val="17"/>
                <w:szCs w:val="17"/>
              </w:rPr>
              <w:t xml:space="preserve">🇱🇨 SANTA LUCÍA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F0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Caribe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F0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180K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F0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$13,900</w:t>
            </w:r>
          </w:p>
        </w:tc>
        <w:tc>
          <w:tcPr>
            <w:tcW w:type="dxa" w:w="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F0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5.0%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F0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3.0%</w:t>
            </w:r>
          </w:p>
        </w:tc>
        <w:tc>
          <w:tcPr>
            <w:tcW w:type="dxa" w:w="4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F0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Micro-estado. Turismo. Sin escala para modelo de franquicia.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8B1A1A"/>
                <w:sz w:val="17"/>
                <w:szCs w:val="17"/>
              </w:rPr>
              <w:t xml:space="preserve">🇻🇨 SAN VICENTE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Caribe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110K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$10,900</w:t>
            </w:r>
          </w:p>
        </w:tc>
        <w:tc>
          <w:tcPr>
            <w:tcW w:type="dxa" w:w="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3.5%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3.5%</w:t>
            </w:r>
          </w:p>
        </w:tc>
        <w:tc>
          <w:tcPr>
            <w:tcW w:type="dxa" w:w="4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Micro-estado. Sin mercado de consumo relevante para franquicias.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F0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8B1A1A"/>
                <w:sz w:val="17"/>
                <w:szCs w:val="17"/>
              </w:rPr>
              <w:t xml:space="preserve">🇦🇬 ANTIGUA Y BARBUDA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F0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Caribe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F0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100K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F0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$22,000</w:t>
            </w:r>
          </w:p>
        </w:tc>
        <w:tc>
          <w:tcPr>
            <w:tcW w:type="dxa" w:w="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F0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6.0%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F0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2.5%</w:t>
            </w:r>
          </w:p>
        </w:tc>
        <w:tc>
          <w:tcPr>
            <w:tcW w:type="dxa" w:w="4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F0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Micro-estado de alta renta por turismo. Sin escala para modelo de franquicia estándar.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8B1A1A"/>
                <w:sz w:val="17"/>
                <w:szCs w:val="17"/>
              </w:rPr>
              <w:t xml:space="preserve">🇬🇩 GRANADA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Caribe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125K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$11,200</w:t>
            </w:r>
          </w:p>
        </w:tc>
        <w:tc>
          <w:tcPr>
            <w:tcW w:type="dxa" w:w="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5.5%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3.0%</w:t>
            </w:r>
          </w:p>
        </w:tc>
        <w:tc>
          <w:tcPr>
            <w:tcW w:type="dxa" w:w="4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Micro-estado. Turismo. Sin escala.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F0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8B1A1A"/>
                <w:sz w:val="17"/>
                <w:szCs w:val="17"/>
              </w:rPr>
              <w:t xml:space="preserve">🇩🇲 DOMINICA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F0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Caribe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F0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72K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F0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$9,700</w:t>
            </w:r>
          </w:p>
        </w:tc>
        <w:tc>
          <w:tcPr>
            <w:tcW w:type="dxa" w:w="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F0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4.0%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F0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3.0%</w:t>
            </w:r>
          </w:p>
        </w:tc>
        <w:tc>
          <w:tcPr>
            <w:tcW w:type="dxa" w:w="4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F0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Micro-estado. Economía de subsistencia y turismo de naturaleza. Sin mercado.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8B1A1A"/>
                <w:sz w:val="17"/>
                <w:szCs w:val="17"/>
              </w:rPr>
              <w:t xml:space="preserve">🇰🇳 SAN CRISTÓBAL Y NIEVES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Caribe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53K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$20,750</w:t>
            </w:r>
          </w:p>
        </w:tc>
        <w:tc>
          <w:tcPr>
            <w:tcW w:type="dxa" w:w="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4.5%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2.5%</w:t>
            </w:r>
          </w:p>
        </w:tc>
        <w:tc>
          <w:tcPr>
            <w:tcW w:type="dxa" w:w="4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6"/>
                <w:szCs w:val="16"/>
              </w:rPr>
              <w:t xml:space="preserve">La nación más pequeña del hemisferio occidental. Sin escala posible.</w:t>
            </w:r>
          </w:p>
        </w:tc>
      </w:tr>
    </w:tbl>
    <w:p>
      <w:pPr>
        <w:spacing w:after="6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p>
      <w:r>
        <w:br w:type="pag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840"/>
      </w:tblGrid>
      <w:tr>
        <w:tc>
          <w:tcPr>
            <w:tcW w:type="dxa" w:w="984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A3A6B" w:val="clear"/>
            <w:tcMar>
              <w:top w:type="dxa" w:w="180"/>
              <w:left w:type="dxa" w:w="360"/>
              <w:bottom w:type="dxa" w:w="180"/>
              <w:right w:type="dxa" w:w="360"/>
            </w:tcMar>
          </w:tcPr>
          <w:p>
            <w:pPr>
              <w:spacing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32"/>
                <w:szCs w:val="32"/>
              </w:rPr>
              <w:t xml:space="preserve">MAPA DE DECISIÓN — RESUMEN EJECUTIVO AMÉRICAS</w:t>
            </w:r>
          </w:p>
        </w:tc>
      </w:tr>
    </w:tbl>
    <w:p>
      <w:pPr>
        <w:spacing w:after="6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60"/>
        <w:gridCol w:w="2460"/>
        <w:gridCol w:w="2460"/>
        <w:gridCol w:w="2460"/>
      </w:tblGrid>
      <w:tr>
        <w:tc>
          <w:tcPr>
            <w:tcW w:type="dxa" w:w="2460"/>
            <w:tcBorders>
              <w:top w:val="single" w:color="1A3A6B" w:sz="1"/>
              <w:left w:val="single" w:color="1A3A6B" w:sz="1"/>
              <w:bottom w:val="single" w:color="1A3A6B" w:sz="1"/>
              <w:right w:val="single" w:color="1A3A6B" w:sz="1"/>
            </w:tcBorders>
            <w:shd w:fill="1A3A6B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🔵 Mercados Ancla</w:t>
            </w:r>
          </w:p>
        </w:tc>
        <w:tc>
          <w:tcPr>
            <w:tcW w:type="dxa" w:w="2460"/>
            <w:tcBorders>
              <w:top w:val="single" w:color="1A5C38" w:sz="1"/>
              <w:left w:val="single" w:color="1A5C38" w:sz="1"/>
              <w:bottom w:val="single" w:color="1A5C38" w:sz="1"/>
              <w:right w:val="single" w:color="1A5C38" w:sz="1"/>
            </w:tcBorders>
            <w:shd w:fill="1A5C38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🚀 Entrada Inmediata</w:t>
            </w:r>
          </w:p>
        </w:tc>
        <w:tc>
          <w:tcPr>
            <w:tcW w:type="dxa" w:w="2460"/>
            <w:tcBorders>
              <w:top w:val="single" w:color="2E7D52" w:sz="1"/>
              <w:left w:val="single" w:color="2E7D52" w:sz="1"/>
              <w:bottom w:val="single" w:color="2E7D52" w:sz="1"/>
              <w:right w:val="single" w:color="2E7D52" w:sz="1"/>
            </w:tcBorders>
            <w:shd w:fill="2E7D52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📈 Entrada Recomendada</w:t>
            </w:r>
          </w:p>
        </w:tc>
        <w:tc>
          <w:tcPr>
            <w:tcW w:type="dxa" w:w="2460"/>
            <w:tcBorders>
              <w:top w:val="single" w:color="D4A017" w:sz="1"/>
              <w:left w:val="single" w:color="D4A017" w:sz="1"/>
              <w:bottom w:val="single" w:color="D4A017" w:sz="1"/>
              <w:right w:val="single" w:color="D4A017" w:sz="1"/>
            </w:tcBorders>
            <w:shd w:fill="D4A017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🔭 Mediano Plazo</w:t>
            </w:r>
          </w:p>
        </w:tc>
      </w:tr>
      <w:tr>
        <w:tc>
          <w:tcPr>
            <w:tcW w:type="dxa" w:w="2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EF3FB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1A3A6B"/>
                <w:sz w:val="19"/>
                <w:szCs w:val="19"/>
              </w:rPr>
              <w:t xml:space="preserve">• EUA (prioridad máxima)
• Canadá</w:t>
            </w:r>
          </w:p>
        </w:tc>
        <w:tc>
          <w:tcPr>
            <w:tcW w:type="dxa" w:w="2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5C38"/>
                <w:sz w:val="18"/>
                <w:szCs w:val="18"/>
              </w:rPr>
              <w:t xml:space="preserve">• Brasil
• Colombia
• Chile
• Perú</w:t>
            </w:r>
          </w:p>
        </w:tc>
        <w:tc>
          <w:tcPr>
            <w:tcW w:type="dxa" w:w="2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AF4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Guatemala
• Panamá
• Rep. Dominicana
• Argentina*
• Costa Rica
• Uruguay</w:t>
            </w:r>
          </w:p>
        </w:tc>
        <w:tc>
          <w:tcPr>
            <w:tcW w:type="dxa" w:w="2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BE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• El Salvador
• Honduras
• Paraguay
• Ecuador
• Bolivia</w:t>
            </w:r>
          </w:p>
        </w:tc>
      </w:tr>
    </w:tbl>
    <w:p>
      <w:pPr>
        <w:spacing w:after="60"/>
        <w:jc w:val="left"/>
      </w:pPr>
      <w:r>
        <w:rPr>
          <w:rFonts w:ascii="Arial" w:cs="Arial" w:eastAsia="Arial" w:hAnsi="Arial"/>
          <w:b w:val="false"/>
          <w:bCs w:val="false"/>
          <w:color w:val="888888"/>
          <w:sz w:val="17"/>
          <w:szCs w:val="17"/>
        </w:rPr>
        <w:t xml:space="preserve">* Argentina: entrada recomendada con estructuración en USD y cláusulas antiinflación.</w:t>
      </w:r>
    </w:p>
    <w:p>
      <w:pPr>
        <w:spacing w:after="6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p>
      <w:pPr>
        <w:spacing w:after="60"/>
        <w:jc w:val="left"/>
      </w:pPr>
      <w:r>
        <w:rPr>
          <w:rFonts w:ascii="Arial" w:cs="Arial" w:eastAsia="Arial" w:hAnsi="Arial"/>
          <w:b/>
          <w:bCs/>
          <w:color w:val="1A3A6B"/>
          <w:sz w:val="24"/>
          <w:szCs w:val="24"/>
        </w:rPr>
        <w:t xml:space="preserve">La ventaja diferencial de México en las Américas</w:t>
      </w:r>
    </w:p>
    <w:p>
      <w:pPr>
        <w:spacing w:after="6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>A diferencia del reporte de África, en las Américas México parte con ventajas estructurales únicas: idioma compartido en 18 de los 20 mercados principales, afinidad cultural profunda, gastronomía que ya es referente continental, y proximidad geográfica que reduce logística de abasto. Esto reduce significativamente el costo de entrada y el tiempo de validación de mercado.</w:t>
      </w:r>
    </w:p>
    <w:p>
      <w:pPr>
        <w:spacing w:after="6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p>
      <w:pPr>
        <w:spacing w:after="60"/>
        <w:jc w:val="left"/>
      </w:pPr>
      <w:r>
        <w:rPr>
          <w:rFonts w:ascii="Arial" w:cs="Arial" w:eastAsia="Arial" w:hAnsi="Arial"/>
          <w:b/>
          <w:bCs/>
          <w:color w:val="1A5C38"/>
          <w:sz w:val="22"/>
          <w:szCs w:val="22"/>
        </w:rPr>
        <w:t xml:space="preserve">Secuencia de expansión recomendada</w:t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4000"/>
        <w:gridCol w:w="4640"/>
      </w:tblGrid>
      <w:tr>
        <w:tc>
          <w:tcPr>
            <w:tcW w:type="dxa" w:w="1200"/>
            <w:tcBorders>
              <w:top w:val="single" w:color="1A5C38" w:sz="1"/>
              <w:left w:val="single" w:color="1A5C38" w:sz="1"/>
              <w:bottom w:val="single" w:color="1A5C38" w:sz="1"/>
              <w:right w:val="single" w:color="1A5C38" w:sz="1"/>
            </w:tcBorders>
            <w:shd w:fill="1A5C38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Fase</w:t>
            </w:r>
          </w:p>
        </w:tc>
        <w:tc>
          <w:tcPr>
            <w:tcW w:type="dxa" w:w="4000"/>
            <w:tcBorders>
              <w:top w:val="single" w:color="1A5C38" w:sz="1"/>
              <w:left w:val="single" w:color="1A5C38" w:sz="1"/>
              <w:bottom w:val="single" w:color="1A5C38" w:sz="1"/>
              <w:right w:val="single" w:color="1A5C38" w:sz="1"/>
            </w:tcBorders>
            <w:shd w:fill="1A5C38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Países objetivo</w:t>
            </w:r>
          </w:p>
        </w:tc>
        <w:tc>
          <w:tcPr>
            <w:tcW w:type="dxa" w:w="4640"/>
            <w:tcBorders>
              <w:top w:val="single" w:color="1A5C38" w:sz="1"/>
              <w:left w:val="single" w:color="1A5C38" w:sz="1"/>
              <w:bottom w:val="single" w:color="1A5C38" w:sz="1"/>
              <w:right w:val="single" w:color="1A5C38" w:sz="1"/>
            </w:tcBorders>
            <w:shd w:fill="1A5C38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Estrategia sugerida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1A5C38"/>
                <w:sz w:val="18"/>
                <w:szCs w:val="18"/>
              </w:rPr>
              <w:t xml:space="preserve">Fase 1
(0-18 meses)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EUA (Texas, California) + Colombia</w:t>
            </w:r>
          </w:p>
        </w:tc>
        <w:tc>
          <w:tcPr>
            <w:tcW w:type="dxa" w:w="46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Master franchise con socio hispano en EUA. Entrada directa en Colombia por afinidad máxima.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1A5C38"/>
                <w:sz w:val="18"/>
                <w:szCs w:val="18"/>
              </w:rPr>
              <w:t xml:space="preserve">Fase 2
(18-36 meses)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Brasil + Chile + Perú</w:t>
            </w:r>
          </w:p>
        </w:tc>
        <w:tc>
          <w:tcPr>
            <w:tcW w:type="dxa" w:w="46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Master franchise con ABF-member en Brasil. Chile y Perú como mercados de crecimiento orgánico.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1A5C38"/>
                <w:sz w:val="18"/>
                <w:szCs w:val="18"/>
              </w:rPr>
              <w:t xml:space="preserve">Fase 3
(36-60 meses)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Guatemala + Panamá + Rep. Dominicana + Costa Rica + Argentina</w:t>
            </w:r>
          </w:p>
        </w:tc>
        <w:tc>
          <w:tcPr>
            <w:tcW w:type="dxa" w:w="46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E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Expansión regional desde hub centroamericano. Argentina con esquema USD.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/>
                <w:bCs/>
                <w:color w:val="1A5C38"/>
                <w:sz w:val="18"/>
                <w:szCs w:val="18"/>
              </w:rPr>
              <w:t xml:space="preserve">Fase 4
(60+ meses)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Canadá + Uruguay + El Salvador + Paraguay + Ecuador</w:t>
            </w:r>
          </w:p>
        </w:tc>
        <w:tc>
          <w:tcPr>
            <w:tcW w:type="dxa" w:w="46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  <w:vAlign w:val="center"/>
          </w:tcPr>
          <w:p>
            <w:pPr>
              <w:spacing w:after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Consolidación regional. Canadá como entrada al mercado angloparlante de América.</w:t>
            </w:r>
          </w:p>
        </w:tc>
      </w:tr>
    </w:tbl>
    <w:p>
      <w:pPr>
        <w:spacing w:after="60"/>
        <w:jc w:val="left"/>
      </w:pPr>
      <w:r>
        <w:rPr>
          <w:rFonts w:ascii="Arial" w:cs="Arial" w:eastAsia="Arial" w:hAnsi="Arial"/>
          <w:b w:val="false"/>
          <w:bCs w:val="false"/>
          <w:color w:val="1A1A1A"/>
          <w:sz w:val="19"/>
          <w:szCs w:val="19"/>
        </w:rPr>
        <w:t xml:space="preserve"/>
      </w:r>
    </w:p>
    <w:p>
      <w:pPr>
        <w:spacing w:after="60"/>
        <w:jc w:val="left"/>
      </w:pPr>
      <w:r>
        <w:rPr>
          <w:rFonts w:ascii="Arial" w:cs="Arial" w:eastAsia="Arial" w:hAnsi="Arial"/>
          <w:b w:val="false"/>
          <w:bCs w:val="false"/>
          <w:color w:val="888888"/>
          <w:sz w:val="16"/>
          <w:szCs w:val="16"/>
        </w:rPr>
        <w:t xml:space="preserve">Fuentes: FMI World Economic Outlook (Abril 2026) · Banco Mundial · J.P. Morgan Private Bank · Goldman Sachs Research · IFA 2025 Franchising Economic Outlook · ABF (Brasil) · AMF (México) · Mordor Intelligence · Kearney FDI Confidence Index 2025</w:t>
      </w:r>
    </w:p>
    <w:sectPr>
      <w:headerReference w:type="default" r:id="rId7"/>
      <w:footerReference w:type="default" r:id="rId8"/>
      <w:pgSz w:w="12240" w:h="15840" w:orient="portrait"/>
      <w:pgMar w:top="900" w:right="900" w:bottom="9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1A3A6B" w:sz="4"/>
      </w:pBdr>
      <w:spacing w:before="80"/>
    </w:pPr>
    <w:r>
      <w:rPr>
        <w:rFonts w:ascii="Arial" w:cs="Arial" w:eastAsia="Arial" w:hAnsi="Arial"/>
        <w:color w:val="888888"/>
        <w:sz w:val="15"/>
        <w:szCs w:val="15"/>
      </w:rPr>
      <w:t xml:space="preserve">Fuentes: FMI · Banco Mundial · Goldman Sachs · J.P. Morgan · IFA · AMF · ABF 2024-2025  |  Pág. </w:t>
    </w:r>
    <w:r>
      <w:rPr>
        <w:rFonts w:ascii="Arial" w:cs="Arial" w:eastAsia="Arial" w:hAnsi="Arial"/>
        <w:color w:val="888888"/>
        <w:sz w:val="15"/>
        <w:szCs w:val="15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A3A6B" w:sz="4"/>
      </w:pBdr>
      <w:spacing w:after="0"/>
    </w:pPr>
    <w:r>
      <w:rPr>
        <w:rFonts w:ascii="Arial" w:cs="Arial" w:eastAsia="Arial" w:hAnsi="Arial"/>
        <w:color w:val="888888"/>
        <w:sz w:val="16"/>
        <w:szCs w:val="16"/>
      </w:rPr>
      <w:t xml:space="preserve">RADAR AMÉRICAS 2025  |  Inteligencia de mercado para franquicias mexicanas  |  Uso confidencial — Inversores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2026-06-08T01:48:41.431Z</dcterms:created>
  <dcterms:modified xsi:type="dcterms:W3CDTF">2026-06-08T01:48:41.441Z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